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Ansprüche aus einem und demselben Recht haben untereinander folgende Rangordnung:</w:t>
      </w:r>
    </w:p>
    <w:p>
      <w:pPr>
        <w:ind w:left="420"/>
      </w:pPr>
      <w:r>
        <w:t xml:space="preserve">1. die Ansprüche auf Ersatz der im § 10 Abs. 2 bezeichneten Kosten;</w:t>
      </w:r>
    </w:p>
    <w:p>
      <w:pPr>
        <w:ind w:left="420"/>
      </w:pPr>
      <w:r>
        <w:t xml:space="preserve">2. die Ansprüche auf wiederkehrende Leistungen und andere Nebenleistungen;</w:t>
      </w:r>
    </w:p>
    <w:p>
      <w:pPr>
        <w:ind w:left="420"/>
      </w:pPr>
      <w:r>
        <w:t xml:space="preserve">3. der Hauptanspruch.</w:t>
      </w:r>
    </w:p>
    <w:p>
      <w:r>
        <w:rPr>
          <w:color w:val="555555"/>
          <w:sz w:val="17"/>
        </w:rPr>
        <w:t xml:space="preserve">Zitiervorschlag: § 12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