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Teilungsplan wird sofort verhandelt. Auf die Verhandlung sowie auf die Erledigung erhobener Widersprüche und die Ausführung des Planes finden die §§ 876 bis 882 der Zivilprozeßordnung entsprechende Anwendung.</w:t>
      </w:r>
    </w:p>
    <w:p>
      <w:r>
        <w:t xml:space="preserve">(2) Ist ein vor dem Termin angemeldeter Anspruch nicht nach dem Antrag in den Plan aufgenommen, so gilt die Anmeldung als Widerspruch gegen den Plan.</w:t>
      </w:r>
    </w:p>
    <w:p>
      <w:r>
        <w:t xml:space="preserve">(3) Der Widerspruch des Schuldners gegen einen vollstreckbaren Anspruch wird nach den §§ 767, 769, 770 der Zivilprozeßordnung erledigt.</w:t>
      </w:r>
    </w:p>
    <w:p>
      <w:r>
        <w:t xml:space="preserve">(4) Soweit der Schuldner durch Sicherheitsleistung oder Hinterlegung die Befriedigung eines solchen Anspruchs abwenden darf, unterbleibt die Ausführung des Planes, wenn die Sicherheit geleistet oder die Hinterlegung erfolgt ist.</w:t>
      </w:r>
    </w:p>
    <w:p>
      <w:r>
        <w:rPr>
          <w:color w:val="555555"/>
          <w:sz w:val="17"/>
        </w:rPr>
        <w:t xml:space="preserve">Zitiervorschlag: § 115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