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113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 Verteilungstermin wird nach Anhörung der anwesenden Beteiligten von dem Gericht, nötigenfalls mit Hilfe eines Rechnungsverständigen, der Teilungsplan aufgestellt.</w:t>
      </w:r>
    </w:p>
    <w:p>
      <w:r>
        <w:t xml:space="preserve">(2) In dem Plan sind auch die nach § 91 nicht erlöschenden Rechte anzugeben.</w:t>
      </w:r>
    </w:p>
    <w:p>
      <w:r>
        <w:rPr>
          <w:color w:val="555555"/>
          <w:sz w:val="17"/>
        </w:rPr>
        <w:t xml:space="preserve">Zitiervorschlag: § 113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