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Ansprüche aus verschiedenen Rechten nach § 10 Nr. 4, 6 oder 8 in derselben Klasse zu befriedigen, so ist für sie das Rangverhältnis maßgebend, welches unter den Rechten besteht.</w:t>
      </w:r>
    </w:p>
    <w:p>
      <w:r>
        <w:t xml:space="preserve">(2) In der fünften Klasse geht unter mehreren Ansprüchen derjenige vor, für welchen die Beschlagnahme früher erfolgt ist.</w:t>
      </w:r>
    </w:p>
    <w:p>
      <w:r>
        <w:rPr>
          <w:color w:val="555555"/>
          <w:sz w:val="17"/>
        </w:rPr>
        <w:t xml:space="preserve">Zitiervorschlag: § 11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