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Verteilungstermin ist festzustellen, wieviel die zu verteilende Masse beträgt. Zu der Masse gehört auch der Erlös aus denjenigen Gegenständen, welche im Falle des § 65 besonders versteigert oder anderweit verwertet sind.</w:t>
      </w:r>
    </w:p>
    <w:p>
      <w:r>
        <w:t xml:space="preserve">(2) Die von dem Ersteher im Termin zu leistende Zahlung erfolgt an das Gericht. § 49 Abs. 3 gilt entsprechend.</w:t>
      </w:r>
    </w:p>
    <w:p>
      <w:r>
        <w:t xml:space="preserve">(3) Ein Geldbetrag, der zur Sicherheit für das Gebot des Erstehers bei der Gerichtskasse einbezahlt ist, wird auf die Zahlung nach Absatz 2 Satz 1 angerechnet.</w:t>
      </w:r>
    </w:p>
    <w:p>
      <w:r>
        <w:rPr>
          <w:color w:val="555555"/>
          <w:sz w:val="17"/>
        </w:rPr>
        <w:t xml:space="preserve">Zitiervorschlag: § 107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