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die Beschwerde für begründet erachtet, so hat das Beschwerdegericht unter Aufhebung des angefochtenen Beschlusses in der Sache selbst zu entscheiden.</w:t>
      </w:r>
    </w:p>
    <w:p>
      <w:r>
        <w:t xml:space="preserve">(2) Wird ein Beschluß, durch welchen der Zuschlag erteilt ist, aufgehoben, auf Rechtsbeschwerde aber für begründet erachtet, so ist unter Aufhebung des Beschlusses des Beschwerdegerichts die gegen die Erteilung des Zuschlags erhobene Beschwerde zurückzuweisen.</w:t>
      </w:r>
    </w:p>
    <w:p>
      <w:r>
        <w:rPr>
          <w:color w:val="555555"/>
          <w:sz w:val="17"/>
        </w:rPr>
        <w:t xml:space="preserve">Zitiervorschlag: § 101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