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ZVG</w:t>
      </w:r>
    </w:p>
    <w:p>
      <w:r>
        <w:rPr>
          <w:color w:val="555555"/>
          <w:sz w:val="18"/>
        </w:rPr>
        <w:t xml:space="preserve">Gesetz über die Zwangsversteigerung und die Zwangsverwaltung</w:t>
      </w:r>
    </w:p>
    <w:p>
      <w:r>
        <w:rPr>
          <w:color w:val="555555"/>
          <w:sz w:val="18"/>
        </w:rPr>
        <w:t xml:space="preserve">Stand: 01.12.2020 (konsolidierte Textfassung, kein amtliches Inkrafttretensdatum)</w:t>
      </w:r>
    </w:p>
    <w:p>
      <w:r>
        <w:t xml:space="preserve">(1) Ein Recht auf Befriedigung aus dem Grundstück gewähren nach folgender Rangordnung, bei gleichem Rang nach dem Verhältnis ihrer Beträge:</w:t>
      </w:r>
    </w:p>
    <w:p>
      <w:pPr>
        <w:ind w:left="420"/>
      </w:pPr>
      <w:r>
        <w:t xml:space="preserve">1. der Anspruch eines die Zwangsverwaltung betreibenden Gläubigers auf Ersatz seiner Ausgaben zur Erhaltung oder nötigen Verbesserung des Grundstücks, im Falle der Zwangsversteigerung jedoch nur, wenn die Verwaltung bis zum Zuschlag fortdauert und die Ausgaben nicht aus den Nutzungen des Grundstücks erstattet werden können;</w:t>
      </w:r>
    </w:p>
    <w:p>
      <w:pPr>
        <w:ind w:left="420"/>
      </w:pPr>
      <w:r>
        <w:t xml:space="preserve">1a. im Falle einer Zwangsversteigerung, bei der das Insolvenzverfahren über das Vermögen des Schuldners eröffnet ist, die zur Insolvenzmasse gehörenden Ansprüche auf Ersatz der Kosten der Feststellung der beweglichen Gegenstände, auf die sich die Versteigerung erstreckt; diese Kosten sind nur zu erheben, wenn ein Insolvenzverwalter bestellt ist, und pauschal mit vier vom Hundert des Wertes anzusetzen, der nach § 74a Abs. 5 Satz 2 festgesetzt worden ist;</w:t>
      </w:r>
    </w:p>
    <w:p>
      <w:pPr>
        <w:ind w:left="420"/>
      </w:pPr>
      <w:r>
        <w:t xml:space="preserve">2. bei Vollstreckung in ein Wohnungseigentum die daraus fälligen Ansprüche auf Zahlung der Beiträge zu den Lasten und Kosten des gemeinschaftlichen Eigentums oder des Sondereigentums, die nach § 16 Abs. 2, § 28 Absatz 1 und 2 des Wohnungseigentumsgesetzes geschuldet werden, einschließlich der Vorschüsse und Rückstellungen sowie der Rückgriffsansprüche einzelner Wohnungseigentümer. Das Vorrecht erfasst die laufenden und die rückständigen Beträge aus dem Jahr der Beschlagnahme und den letzten zwei Jahren. Das Vorrecht einschließlich aller Nebenleistungen ist begrenzt auf Beträge in Höhe von nicht mehr als 5 vom Hundert des nach § 74a Abs. 5 festgesetzten Wertes. Die Anmeldung erfolgt durch die Gemeinschaft der Wohnungseigentümer. Rückgriffsansprüche einzelner Wohnungseigentümer werden von diesen angemeldet;</w:t>
      </w:r>
    </w:p>
    <w:p>
      <w:pPr>
        <w:ind w:left="420"/>
      </w:pPr>
      <w:r>
        <w:t xml:space="preserve">3. die Ansprüche auf Entrichtung der öffentlichen Lasten des Grundstücks wegen der aus den letzten vier Jahren rückständigen Beträge; wiederkehrende Leistungen, insbesondere Grundsteuern, Zinsen, Zuschläge oder Rentenleistungen, sowie Beträge, die zur allmählichen Tilgung einer Schuld als Zuschlag zu den Zinsen zu entrichten sind, genießen dieses Vorrecht nur für die laufenden Beträge und für die Rückstände aus den letzten zwei Jahren. Untereinander stehen öffentliche Grundstückslasten, gleichviel ob sie auf Bundes- oder Landesrecht beruhen, im Range gleich. Die Vorschriften des § 112 Abs. 1 und der §§ 113 und 116 des Gesetzes über den Lastenausgleich vom 14. August 1952 (Bundesgesetzbl. I S. 446) bleiben unberührt;</w:t>
      </w:r>
    </w:p>
    <w:p>
      <w:pPr>
        <w:ind w:left="420"/>
      </w:pPr>
      <w:r>
        <w:t xml:space="preserve">4. die Ansprüche aus Rechten an dem Grundstück, soweit sie nicht infolge der Beschlagnahme dem Gläubiger gegenüber unwirksam sind, einschließlich der Ansprüche auf Beträge, die zur allmählichen Tilgung einer Schuld als Zuschlag zu den Zinsen zu entrichten sind; Ansprüche auf wiederkehrende Leistungen, insbesondere Zinsen, Zuschläge, Verwaltungskosten oder Rentenleistungen, genießen das Vorrecht dieser Klasse nur wegen der laufenden und der aus den letzten zwei Jahren rückständigen Beträge;</w:t>
      </w:r>
    </w:p>
    <w:p>
      <w:pPr>
        <w:ind w:left="420"/>
      </w:pPr>
      <w:r>
        <w:t xml:space="preserve">5. der Anspruch des Gläubigers, soweit er nicht in einer der vorhergehenden Klassen zu befriedigen ist;</w:t>
      </w:r>
    </w:p>
    <w:p>
      <w:pPr>
        <w:ind w:left="420"/>
      </w:pPr>
      <w:r>
        <w:t xml:space="preserve">6. die Ansprüche der vierten Klasse, soweit sie infolge der Beschlagnahme dem Gläubiger gegenüber unwirksam sind;</w:t>
      </w:r>
    </w:p>
    <w:p>
      <w:pPr>
        <w:ind w:left="420"/>
      </w:pPr>
      <w:r>
        <w:t xml:space="preserve">7. die Ansprüche der dritten Klasse wegen der älteren Rückstände;</w:t>
      </w:r>
    </w:p>
    <w:p>
      <w:pPr>
        <w:ind w:left="420"/>
      </w:pPr>
      <w:r>
        <w:t xml:space="preserve">8. die Ansprüche der vierten Klasse wegen der älteren Rückstände.</w:t>
      </w:r>
    </w:p>
    <w:p>
      <w:r>
        <w:t xml:space="preserve">(2) Das Recht auf Befriedigung aus dem Grundstück besteht auch für die Kosten der Kündigung und der die Befriedigung aus dem Grundstück bezweckenden Rechtsverfolgung.</w:t>
      </w:r>
    </w:p>
    <w:p>
      <w:r>
        <w:t xml:space="preserve">(3) Für die Vollstreckung mit dem Range nach Absatz 1 Nummer 2 genügt ein Titel, aus dem die Verpflichtung des Schuldners zur Zahlung, die Art und der Bezugszeitraum des Anspruchs sowie seine Fälligkeit zu erkennen sind. Soweit die Art und der Bezugszeitraum des Anspruchs sowie seine Fälligkeit nicht aus dem Titel zu erkennen sind, sind sie in sonst geeigneter Weise glaubhaft zu machen.</w:t>
      </w:r>
    </w:p>
    <w:p>
      <w:r>
        <w:rPr>
          <w:color w:val="555555"/>
          <w:sz w:val="17"/>
        </w:rPr>
        <w:t xml:space="preserve">Zitiervorschlag: § 10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