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Für die Zwangsversteigerung und die Zwangsverwaltung eines Grundstücks ist als Vollstreckungsgericht das Amtsgericht zuständig, in dessen Bezirk das Grundstück belegen ist.</w:t>
      </w:r>
    </w:p>
    <w:p>
      <w:r>
        <w:t xml:space="preserve">(2) Die Landesregierungen werden ermächtigt, durch Rechtsverordnung die Zwangsversteigerungs- und Zwangsverwaltungssachen einem Amtsgericht für die Bezirke mehrerer Amtsgerichte zuzuweisen, sofern die Zusammenfassung für eine sachdienliche Förderung und schnellere Erledigung der Verfahren erforderlich ist. Die Landesregierungen können die Ermächtigung auf die Landesjustizverwaltungen übertragen.</w:t>
      </w:r>
    </w:p>
    <w:p>
      <w:r>
        <w:rPr>
          <w:color w:val="555555"/>
          <w:sz w:val="17"/>
        </w:rPr>
        <w:t xml:space="preserve">Zitiervorschlag: § 1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