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 ZVFV 2022 — (zu § 1 Absatz 2) Antrag auf Erlass einer richterlichen Durchsuchungsanordnung und einer richterlichen Anordnung der Vollstreckung zur Nachtzeit und an Sonn- und Feiertagen</w:t>
      </w:r>
    </w:p>
    <w:p>
      <w:r>
        <w:rPr>
          <w:color w:val="555555"/>
          <w:sz w:val="18"/>
        </w:rPr>
        <w:t xml:space="preserve">Zwangsvollstreckungsformular-Verordnung</w:t>
      </w:r>
    </w:p>
    <w:p>
      <w:r>
        <w:rPr>
          <w:color w:val="555555"/>
          <w:sz w:val="18"/>
        </w:rPr>
        <w:t xml:space="preserve">Stand: 01.09.2024 (konsolidierte Textfassung, kein amtliches Inkrafttretensdatum)</w:t>
      </w:r>
    </w:p>
    <w:p>
      <w:r>
        <w:t xml:space="preserve">(Fundstelle: BGBl. 2024 I Nr. 203, S. 11 – 13)</w:t>
      </w:r>
    </w:p>
    <w:p>
      <w:r>
        <w:rPr>
          <w:color w:val="555555"/>
          <w:sz w:val="17"/>
        </w:rPr>
        <w:t xml:space="preserve">Zitiervorschlag: Anlage 2 ZVFV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https://recht.nulegal.eu/gesetze/ZVFV%202022/anlage-2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