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ZVFV 2022 — Elektronisch auslesbares Formular</w:t>
      </w:r>
    </w:p>
    <w:p>
      <w:r>
        <w:rPr>
          <w:color w:val="555555"/>
          <w:sz w:val="18"/>
        </w:rPr>
        <w:t xml:space="preserve">Zwangsvollstreckungsformular-Verordnung</w:t>
      </w:r>
    </w:p>
    <w:p>
      <w:r>
        <w:rPr>
          <w:color w:val="555555"/>
          <w:sz w:val="18"/>
        </w:rPr>
        <w:t xml:space="preserve">Stand: 22.12.2022 (konsolidierte Textfassung, kein amtliches Inkrafttretensdatum)</w:t>
      </w:r>
    </w:p>
    <w:p>
      <w:r>
        <w:t xml:space="preserve">In Papierform eingereichte Formulare können zur elektronischen Weiterverarbeitung der Daten elektronisch ausgelesen werden. Die Länder sind befugt, die Voraussetzungen hierfür festzulegen.</w:t>
      </w:r>
    </w:p>
    <w:p>
      <w:r>
        <w:rPr>
          <w:color w:val="555555"/>
          <w:sz w:val="17"/>
        </w:rPr>
        <w:t xml:space="preserve">Zitiervorschlag: § 4 ZVFV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https://recht.nulegal.eu/gesetze/ZVFV%202022/4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