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ZVFV 2022 — Abweichungen von den Formularen</w:t>
      </w:r>
    </w:p>
    <w:p>
      <w:r>
        <w:rPr>
          <w:color w:val="555555"/>
          <w:sz w:val="18"/>
        </w:rPr>
        <w:t xml:space="preserve">Zwangsvollstreckungsformular-Verordnung</w:t>
      </w:r>
    </w:p>
    <w:p>
      <w:r>
        <w:rPr>
          <w:color w:val="555555"/>
          <w:sz w:val="18"/>
        </w:rPr>
        <w:t xml:space="preserve">Stand: 22.12.2022 (konsolidierte Textfassung, kein amtliches Inkrafttretensdatum)</w:t>
      </w:r>
    </w:p>
    <w:p>
      <w:r>
        <w:t xml:space="preserve">(1) Abweichungen von den Formularen sind ausschließlich zulässig</w:t>
      </w:r>
    </w:p>
    <w:p>
      <w:pPr>
        <w:ind w:left="420"/>
      </w:pPr>
      <w:r>
        <w:t xml:space="preserve">1. nach Maßgabe der Absätze 2 und 3 und</w:t>
      </w:r>
    </w:p>
    <w:p>
      <w:pPr>
        <w:ind w:left="420"/>
      </w:pPr>
      <w:r>
        <w:t xml:space="preserve">2. unter der Voraussetzung, dass durch die Abweichungen Folgendes nicht beeinträchtigt wird:</w:t>
      </w:r>
    </w:p>
    <w:p>
      <w:pPr>
        <w:ind w:left="780"/>
      </w:pPr>
      <w:r>
        <w:t xml:space="preserve">a) die Verständlichkeit und die Lesbarkeit der eingereichten Formulare sowie</w:t>
      </w:r>
    </w:p>
    <w:p>
      <w:pPr>
        <w:ind w:left="780"/>
      </w:pPr>
      <w:r>
        <w:t xml:space="preserve">b) die Zuordnung von Text zu den jeweiligen Sinneinheiten, die durch einen mit einem Buchstaben versehenen und grau hinterlegten Balken gekennzeichnet sind (Module).</w:t>
      </w:r>
    </w:p>
    <w:p>
      <w:r>
        <w:t xml:space="preserve">(2) Zulässig ist es,</w:t>
      </w:r>
    </w:p>
    <w:p>
      <w:pPr>
        <w:ind w:left="420"/>
      </w:pPr>
      <w:r>
        <w:t xml:space="preserve">1. die Formulare an geänderte Rechtsvorschriften anzupassen,</w:t>
      </w:r>
    </w:p>
    <w:p>
      <w:pPr>
        <w:ind w:left="420"/>
      </w:pPr>
      <w:r>
        <w:t xml:space="preserve">2. die Währungsangaben in den Formularen zu ändern,</w:t>
      </w:r>
    </w:p>
    <w:p>
      <w:pPr>
        <w:ind w:left="420"/>
      </w:pPr>
      <w:r>
        <w:t xml:space="preserve">3. unwesentliche Änderungen der formalen Gestaltung vorzunehmen,</w:t>
      </w:r>
    </w:p>
    <w:p>
      <w:pPr>
        <w:ind w:left="420"/>
      </w:pPr>
      <w:r>
        <w:t xml:space="preserve">4. den vorgesehenen Umfang von Texteingabefeldern zu erweitern oder zu verringern,</w:t>
      </w:r>
    </w:p>
    <w:p>
      <w:pPr>
        <w:ind w:left="420"/>
      </w:pPr>
      <w:r>
        <w:t xml:space="preserve">5. den Text einschließlich der dazugehörigen Texteingabefelder außerhalb der Rahmen für die Angaben zum Gläubiger in Modul A und zum Schuldner in Modul B in den Formularen der Anlagen 1, 3 und 5 insgesamt mehrfach zu verwenden,</w:t>
      </w:r>
    </w:p>
    <w:p>
      <w:pPr>
        <w:ind w:left="420"/>
      </w:pPr>
      <w:r>
        <w:t xml:space="preserve">6. den Text einschließlich der dazugehörigen Texteingabefelder, der sich innerhalb von Rahmen befindet,</w:t>
      </w:r>
    </w:p>
    <w:p>
      <w:pPr>
        <w:ind w:left="780"/>
      </w:pPr>
      <w:r>
        <w:t xml:space="preserve">a) insgesamt oder teilweise mehrfach zu verwenden oder teilweise wegzulassen,</w:t>
      </w:r>
    </w:p>
    <w:p>
      <w:pPr>
        <w:ind w:left="780"/>
      </w:pPr>
      <w:r>
        <w:t xml:space="preserve">b) insgesamt einschließlich des dazugehörigen Rahmens und der insoweit betroffenen Modulbezeichnung wegzulassen,</w:t>
      </w:r>
    </w:p>
    <w:p>
      <w:pPr>
        <w:ind w:left="420"/>
      </w:pPr>
      <w:r>
        <w:t xml:space="preserve">7. weitere Anlagen beizufügen, soweit in dem Formular die gewünschten Angaben nicht gemacht werden können.</w:t>
      </w:r>
    </w:p>
    <w:p>
      <w:r>
        <w:t xml:space="preserve">(3) Auf Text, der sich innerhalb von Rahmen befindet, die als vom Gericht auszufüllen gekennzeichnet sind, ist</w:t>
      </w:r>
    </w:p>
    <w:p>
      <w:pPr>
        <w:ind w:left="420"/>
      </w:pPr>
      <w:r>
        <w:t xml:space="preserve">1. Absatz 2 Nummer 4 und 6 Buchstabe a nicht anwendbar,</w:t>
      </w:r>
    </w:p>
    <w:p>
      <w:pPr>
        <w:ind w:left="420"/>
      </w:pPr>
      <w:r>
        <w:t xml:space="preserve">2. Absatz 2 Nummer 6 Buchstabe b nur bei den Modulen Q, R und S des Formulars der Anlage 5 und nur dann anwendbar, wenn das jeweils am Anfang des betreffenden Moduls befindliche Kontrollkästchen nicht markiert wird.</w:t>
      </w:r>
    </w:p>
    <w:p>
      <w:r>
        <w:rPr>
          <w:color w:val="555555"/>
          <w:sz w:val="17"/>
        </w:rPr>
        <w:t xml:space="preserve">Zitiervorschlag: § 3 ZVFV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https://recht.nulegal.eu/gesetze/ZVFV%202022/3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