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ZVEG — Periodizität und Berichtszeitraum</w:t>
      </w:r>
    </w:p>
    <w:p>
      <w:r>
        <w:rPr>
          <w:color w:val="555555"/>
          <w:sz w:val="18"/>
        </w:rPr>
        <w:t xml:space="preserve">Zeitverwendungserhebungsgesetz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Die Erhebungen nach § 1 werden im Laufe von zwölf aufeinanderfolgenden Monaten durchgeführt und sind in zehnjährigem Abstand zu wiederholen.</w:t>
      </w:r>
    </w:p>
    <w:p>
      <w:r>
        <w:t xml:space="preserve">(2) Erhebungsmerkmale werden mit Bezug auf die gegenwärtige Situation oder einen zurückliegenden Zeitraum erhoben.</w:t>
      </w:r>
    </w:p>
    <w:p>
      <w:r>
        <w:rPr>
          <w:color w:val="555555"/>
          <w:sz w:val="17"/>
        </w:rPr>
        <w:t xml:space="preserve">Zitiervorschlag: § 5 ZVEG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https://recht.nulegal.eu/gesetze/ZVEG/5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