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ZVEG — Zweck der Erhebung</w:t>
      </w:r>
    </w:p>
    <w:p>
      <w:r>
        <w:rPr>
          <w:color w:val="555555"/>
          <w:sz w:val="18"/>
        </w:rPr>
        <w:t xml:space="preserve">Zeitverwendungserhebungsgesetz</w:t>
      </w:r>
    </w:p>
    <w:p>
      <w:r>
        <w:rPr>
          <w:color w:val="555555"/>
          <w:sz w:val="18"/>
        </w:rPr>
        <w:t xml:space="preserve">Stand: 01.07.2021 (konsolidierte Textfassung, kein amtliches Inkrafttretensdatum)</w:t>
      </w:r>
    </w:p>
    <w:p>
      <w:r>
        <w:t xml:space="preserve">Zweck der Erhebung ist es, statistische Angaben zur Beschreibung und Analyse gesellschaftlicher Entwicklungen bereitzustellen, insbesondere zur Vorbereitung und zur regelmäßigen Evaluierung gesellschaftspolitischer Maßnahmen und für Vergleiche mit den Mitgliedstaaten der Europäischen Union.</w:t>
      </w:r>
    </w:p>
    <w:p>
      <w:r>
        <w:rPr>
          <w:color w:val="555555"/>
          <w:sz w:val="17"/>
        </w:rPr>
        <w:t xml:space="preserve">Zitiervorschlag: § 2 ZVEG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https://recht.nulegal.eu/gesetze/ZVEG/2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