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ZVEG — Art und Gegenstand der Erhebungen</w:t>
      </w:r>
    </w:p>
    <w:p>
      <w:r>
        <w:rPr>
          <w:color w:val="555555"/>
          <w:sz w:val="18"/>
        </w:rPr>
        <w:t xml:space="preserve">Zeitverwendungserhebungsgesetz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Ab dem Jahr 2022 werden Erhebungen über die Verwendung von Zeit durch natürliche Personen auf repräsentativer Grundlage als Bundesstatistik durchgeführt.</w:t>
      </w:r>
    </w:p>
    <w:p>
      <w:r>
        <w:rPr>
          <w:color w:val="555555"/>
          <w:sz w:val="17"/>
        </w:rPr>
        <w:t xml:space="preserve">Zitiervorschlag: § 1 ZVEG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https://recht.nulegal.eu/gesetze/ZVEG/1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