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ZVAsylVfG (Brandenburg) — Kosten</w:t>
      </w:r>
    </w:p>
    <w:p>
      <w:r>
        <w:rPr>
          <w:color w:val="555555"/>
          <w:sz w:val="18"/>
        </w:rPr>
        <w:t xml:space="preserve">Zuständigkeitsverordnung nach dem Asylverfahrensgesetz für Gesundheitsuntersuchungen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erstattet dem die Gesundheitsuntersuchung durchführenden Landkreis die</w:t>
      </w:r>
    </w:p>
    <w:p>
      <w:r>
        <w:t xml:space="preserve">Kosten der Untersuchung durch einen pauschalen Abgeltungsbetrag. Dieser beträgt</w:t>
      </w:r>
    </w:p>
    <w:p>
      <w:r>
        <w:t xml:space="preserve">138 Euro pro</w:t>
      </w:r>
    </w:p>
    <w:p>
      <w:r>
        <w:t xml:space="preserve">Untersuchung. Sind auf Grund klinischer oder epidemiologischer Anhaltspunkte in</w:t>
      </w:r>
    </w:p>
    <w:p>
      <w:r>
        <w:t xml:space="preserve">Abstimmung mit dem Land weitere Untersuchungen erforderlich, werden die den</w:t>
      </w:r>
    </w:p>
    <w:p>
      <w:r>
        <w:t xml:space="preserve">pauschalen Abgeltungsbetrag übersteigenden Mehrkosten auf Antrag erstattet.</w:t>
      </w:r>
    </w:p>
    <w:p>
      <w:r>
        <w:rPr>
          <w:color w:val="555555"/>
          <w:sz w:val="17"/>
        </w:rPr>
        <w:t xml:space="preserve">Zitiervorschlag: § 2 ZVAsylVfG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https://recht.nulegal.eu/gesetze/ZVAsylVfG/2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