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ZVALG</w:t>
      </w:r>
    </w:p>
    <w:p>
      <w:r>
        <w:rPr>
          <w:color w:val="555555"/>
          <w:sz w:val="18"/>
        </w:rPr>
        <w:t xml:space="preserve">Gesetz über die Errichtung einer Zusatzversorgungskasse für Arbeitnehmer in der Land- und Forstwirtschaft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Der Zusatzversorgungskasse für Arbeitnehmer in der Land- und Forstwirtschaft obliegt die Zahlung von Ausgleichsleistungen an Arbeitnehmer der Land- und Forstwirtschaft sowie die Durchführung anderer Aufgaben (§ 16 dieses Gesetzes).</w:t>
      </w:r>
    </w:p>
    <w:p>
      <w:r>
        <w:t xml:space="preserve">(2) Land- und forstwirtschaftliche Arbeitnehmer (landwirtschaftliche Arbeitnehmer) sind Personen, die im Inland in einem Betrieb der Landwirtschaft oder der Forstwirtschaft einschließlich des landwirtschaftlichen Obst- und Gemüsebaus, des Weinbaus sowie der Teichwirtschaft und der Fischzucht ständig rentenversicherungspflichtig beschäftigt werden. Als Betrieb im Sinne des Satzes 1 gelten auch</w:t>
      </w:r>
    </w:p>
    <w:p>
      <w:pPr>
        <w:ind w:left="420"/>
      </w:pPr>
      <w:r>
        <w:t xml:space="preserve">a) gemischte Betriebe mit überwiegend landwirtschaftlichem, forstwirtschaftlichem, wein-, obst- oder gemüsebaulichem Charakter und</w:t>
      </w:r>
    </w:p>
    <w:p>
      <w:pPr>
        <w:ind w:left="420"/>
      </w:pPr>
      <w:r>
        <w:t xml:space="preserve">b) selbständige Nebenbetriebe und selbständige Betriebsabteilungen gewerblicher Unternehmen mit landwirtschaftlichem, forstwirtschaftlichem, wein-, obst- oder gemüsebaulichem Charakter.</w:t>
      </w:r>
    </w:p>
    <w:p>
      <w:r>
        <w:rPr>
          <w:color w:val="555555"/>
          <w:sz w:val="17"/>
        </w:rPr>
        <w:t xml:space="preserve">Zitiervorschlag: § 2 ZVALG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https://recht.nulegal.eu/gesetze/ZVALG/2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