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Zusatzversorgungskasse kann mit Genehmigung des Bundesministeriums für Ernährung und Landwirtschaft und des Bundesministeriums für Arbeit und Soziales die Aufgaben gemeinsamer Einrichtungen der Tarifvertragsparteien der Land- und Forstwirtschaft im Sinne des § 4 Abs. 2 des Tarifvertragsgesetzes, die eine Zusatzaltersversorgung für Arbeitnehmer der Land- und Forstwirtschaft zum Gegenstand haben, durchführen.</w:t>
      </w:r>
    </w:p>
    <w:p>
      <w:r>
        <w:t xml:space="preserve">(2) Soweit gemeinsame Einrichtungen zur Durchführung ihrer Aufgaben die Zusatzversorgungskasse in Anspruch nehmen, haben sie der Zusatzversorgungskasse die hierdurch entstehenden Verwaltungskosten zu erstatten.</w:t>
      </w:r>
    </w:p>
    <w:p>
      <w:r>
        <w:rPr>
          <w:color w:val="555555"/>
          <w:sz w:val="17"/>
        </w:rPr>
        <w:t xml:space="preserve">Zitiervorschlag: § 16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