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ZVALG</w:t>
      </w:r>
    </w:p>
    <w:p>
      <w:r>
        <w:rPr>
          <w:color w:val="555555"/>
          <w:sz w:val="18"/>
        </w:rPr>
        <w:t xml:space="preserve">Gesetz über die Errichtung einer Zusatzversorgungskasse für Arbeitnehmer in der Land- und Forstwirtschaft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der Ausgleichsleistung einschließlich ihrer Verwaltungskosten trägt der Bund.</w:t>
      </w:r>
    </w:p>
    <w:p>
      <w:r>
        <w:rPr>
          <w:color w:val="555555"/>
          <w:sz w:val="17"/>
        </w:rPr>
        <w:t xml:space="preserve">Zitiervorschlag: § 13 ZVALG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https://recht.nulegal.eu/gesetze/ZVALG/13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