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ZV EVTZ (Nordrhein-Westfalen)</w:t>
      </w:r>
    </w:p>
    <w:p>
      <w:r>
        <w:rPr>
          <w:color w:val="555555"/>
          <w:sz w:val="18"/>
        </w:rPr>
        <w:t xml:space="preserve">Europäische Territorialverbundverordnung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Über die Erfahrungen mit dieser Verordnung ist der Landesregierung bis zum 31. Dezember 2013 zu berichten.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Ministerin</w:t>
      </w:r>
    </w:p>
    <w:p>
      <w:r>
        <w:t xml:space="preserve">für Wirtschaft, Mittelstand und Energie</w:t>
      </w:r>
    </w:p>
    <w:p>
      <w:r>
        <w:rPr>
          <w:color w:val="555555"/>
          <w:sz w:val="17"/>
        </w:rPr>
        <w:t xml:space="preserve">Zitiervorschlag: § 2 ZV EVTZ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https://recht.nulegal.eu/gesetze/ZV%20EVTZ/2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