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ZTechAusbV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Grund des § 25 Abs. 1 in Verbindung mit Abs. 2 der Handwerksordnung in der Fassung der Bekanntmachung vom 28. Dezember 1965 (BGBl. 1966 I S. 1), der zuletzt durch Artikel 1 Nr. 63 des Gesetzes vom 20. Dezember 1993 (BGBl. I S. 2256) und gemäß Artikel 33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