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ZTechAusbV — Ausbildungsrahmenplan</w:t>
      </w:r>
    </w:p>
    <w:p>
      <w:r>
        <w:rPr>
          <w:color w:val="555555"/>
          <w:sz w:val="18"/>
        </w:rPr>
        <w:t xml:space="preserve">Verordnung über die Berufsausbildung zum Zahntechniker/zur Zahntechnikerin</w:t>
      </w:r>
    </w:p>
    <w:p>
      <w:r>
        <w:rPr>
          <w:color w:val="555555"/>
          <w:sz w:val="18"/>
        </w:rPr>
        <w:t xml:space="preserve">Historische Fassung: Stand 10.06.2019 bis 01.08.2022. Dies ist nicht die aktuelle Fassung.</w:t>
      </w:r>
    </w:p>
    <w:p>
      <w:r>
        <w:t xml:space="preserve">(1) Die Fertigkeiten und Kenntnisse nach § 3 sollen nach der in der Anlage enthaltenen Anleitung zur sachlichen und zeitlichen Gliederung der Berufsausbildung (Ausbildungsrahmenplan) vermittelt werden. Eine von dem Ausbildungsrahmenplan abweichende sachliche und zeitliche Gliederung des Ausbildungsinhaltes ist insbesondere zulässig, soweit betriebspraktische Besonderheiten die Abweichung erfordern.</w:t>
      </w:r>
    </w:p>
    <w:p>
      <w:r>
        <w:t xml:space="preserve">(2) Die in dieser Verordnung genannten Fertigkeiten und Kenntnisse sollen so vermittelt werden, daß der Auszubildende zur Ausübung einer qualifizierten beruflichen Tätigkeit im Sinne des § 1 Abs. 2 des Berufsbildungsgesetzes befähigt wird, die insbesondere selbständiges Planen, Durchführen und Kontrollieren einschließt. Die in Satz 1 beschriebene Befähigung ist auch in den Prüfungen nach den §§ 7 und 8 nachzuweisen.</w:t>
      </w:r>
    </w:p>
    <w:p>
      <w:r>
        <w:rPr>
          <w:color w:val="555555"/>
          <w:sz w:val="17"/>
        </w:rPr>
        <w:t xml:space="preserve">Zitiervorschlag: § 4 ZTechAusbV</w:t>
      </w:r>
    </w:p>
    <w:p>
      <w:r>
        <w:rPr>
          <w:color w:val="555555"/>
          <w:sz w:val="17"/>
        </w:rPr>
        <w:t xml:space="preserve">Quelle: Bundesamt für Justiz (Archivstand),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https://recht.nulegal.eu/gesetze/ZTechAusbV/4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