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ZTRV</w:t>
      </w:r>
    </w:p>
    <w:p>
      <w:r>
        <w:rPr>
          <w:color w:val="555555"/>
          <w:sz w:val="18"/>
        </w:rPr>
        <w:t xml:space="preserve">Testamentsregister-Verordnung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78 Absatz 2 Satz 2 bis 5 in Verbindung mit § 78 Absatz 2 Satz 1 Nummer 2 der Bundesnotarordnung, der durch Artikel 1 Nummer 1 Buchstabe a des Gesetzes vom 22. Dezember 2010 (BGBl. I S. 2255)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ZTRV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