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ZTRV — Elektronische Kommunikation</w:t>
      </w:r>
    </w:p>
    <w:p>
      <w:r>
        <w:rPr>
          <w:color w:val="555555"/>
          <w:sz w:val="18"/>
        </w:rPr>
        <w:t xml:space="preserve">Testamentsregister-Verordnung</w:t>
      </w:r>
    </w:p>
    <w:p>
      <w:r>
        <w:rPr>
          <w:color w:val="555555"/>
          <w:sz w:val="18"/>
        </w:rPr>
        <w:t xml:space="preserve">Stand: 01.08.2021 (konsolidierte Textfassung, kein amtliches Inkrafttretensdatum)</w:t>
      </w:r>
    </w:p>
    <w:p>
      <w:r>
        <w:t xml:space="preserve">(1) Meldungen, Bestätigungen, Benachrichtigungen, Registerabfragen und -auskünfte erfolgen grundsätzlich elektronisch.</w:t>
      </w:r>
    </w:p>
    <w:p>
      <w:r>
        <w:t xml:space="preserve">(2) Die Registerbehörde stellt zur elektronischen Kommunikation mit Notaren, Gerichten und Standesämtern geeignete bundeseinheitliche Schnittstellen zur Verfügung. Die elektronische Übermittlung der Daten erfolgt durch geeignete bundeseinheitliche Transportprotokolle sowie in einheitlich strukturierten Datensätzen.</w:t>
      </w:r>
    </w:p>
    <w:p>
      <w:r>
        <w:t xml:space="preserve">(3) Abweichend von Absatz 1 kann die Kommunikation auch schriftlich nach Maßgabe der von der Registerbehörde getroffenen Festlegungen erfolgen, insbesondere</w:t>
      </w:r>
    </w:p>
    <w:p>
      <w:pPr>
        <w:ind w:left="420"/>
      </w:pPr>
      <w:r>
        <w:t xml:space="preserve">1. im Zusammenhang mit nach § 78d Absatz 4 der Bundesnotarordnung zu registrierenden Vergleichen und mit von Konsularbeamten aufgenommenen erbfolgerelevanten Urkunden,</w:t>
      </w:r>
    </w:p>
    <w:p>
      <w:pPr>
        <w:ind w:left="420"/>
      </w:pPr>
      <w:r>
        <w:t xml:space="preserve">2. bei Benachrichtigungen nach § 7, außer nach § 7 Absatz 3 für den Fall, dass keine Verwahrangaben registriert sind,</w:t>
      </w:r>
    </w:p>
    <w:p>
      <w:pPr>
        <w:ind w:left="420"/>
      </w:pPr>
      <w:r>
        <w:t xml:space="preserve">3. bei Auskünften an Stellen nach § 78f Absatz 1a der Bundesnotarordnung oder</w:t>
      </w:r>
    </w:p>
    <w:p>
      <w:pPr>
        <w:ind w:left="420"/>
      </w:pPr>
      <w:r>
        <w:t xml:space="preserve">4. bei technischen Störungen.</w:t>
      </w:r>
    </w:p>
    <w:p>
      <w:r>
        <w:t xml:space="preserve">(4) § 63 Absatz 1 und 3 der Personenstandsverordnung bleibt unberührt.</w:t>
      </w:r>
    </w:p>
    <w:p>
      <w:r>
        <w:rPr>
          <w:color w:val="555555"/>
          <w:sz w:val="17"/>
        </w:rPr>
        <w:t xml:space="preserve">Zitiervorschlag: § 9 ZTRV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https://recht.nulegal.eu/gesetze/ZTRV/9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