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ZTRV — Registerauskünfte</w:t>
      </w:r>
    </w:p>
    <w:p>
      <w:r>
        <w:rPr>
          <w:color w:val="555555"/>
          <w:sz w:val="18"/>
        </w:rPr>
        <w:t xml:space="preserve">Testamentsregister-Verordnung</w:t>
      </w:r>
    </w:p>
    <w:p>
      <w:r>
        <w:rPr>
          <w:color w:val="555555"/>
          <w:sz w:val="18"/>
        </w:rPr>
        <w:t xml:space="preserve">Stand: 01.08.2021 (konsolidierte Textfassung, kein amtliches Inkrafttretensdatum)</w:t>
      </w:r>
    </w:p>
    <w:p>
      <w:r>
        <w:t xml:space="preserve">(1) Die Registerbehörde erteilt Auskunft aus dem Zentralen Testamentsregister nach § 78f Absatz 1 der Bundesnotarordnung, wenn die ersuchende Stelle</w:t>
      </w:r>
    </w:p>
    <w:p>
      <w:pPr>
        <w:ind w:left="420"/>
      </w:pPr>
      <w:r>
        <w:t xml:space="preserve">1. ihr Geschäftszeichen und zur Person des Erblassers mindestens seinen Geburtsnamen, sein Geburtsdatum und seinen Geburtsort angibt und</w:t>
      </w:r>
    </w:p>
    <w:p>
      <w:pPr>
        <w:ind w:left="420"/>
      </w:pPr>
      <w:r>
        <w:t xml:space="preserve">2. erklärt, dass die in § 78f Absatz 1 der Bundesnotarordnung genannten Voraussetzungen vorliegen.</w:t>
      </w:r>
    </w:p>
    <w:p>
      <w:r>
        <w:t xml:space="preserve">Das Vorliegen der Voraussetzungen des § 78f Absatz 1 Satz 2 und 3 der Bundesnotarordnung prüft die Registerbehörde nur, wenn sie dazu nach den Umständen des Einzelfalls Anlass hat.</w:t>
      </w:r>
    </w:p>
    <w:p>
      <w:r>
        <w:t xml:space="preserve">(1a) Die Registerbehörde erteilt nach § 78f Absatz 1a der Bundesnotarordnung Auskunft aus dem Zentralen Testamentsregister, wenn die ersuchende Stelle</w:t>
      </w:r>
    </w:p>
    <w:p>
      <w:pPr>
        <w:ind w:left="420"/>
      </w:pPr>
      <w:r>
        <w:t xml:space="preserve">1. ihr Geschäftszeichen und zur Person des Erblassers mindestens seinen Geburtsnamen, sein Geburtsdatum und seinen Geburtsort angibt,</w:t>
      </w:r>
    </w:p>
    <w:p>
      <w:pPr>
        <w:ind w:left="420"/>
      </w:pPr>
      <w:r>
        <w:t xml:space="preserve">2. das Sterbedatum und den Sterbeort des Erblassers angibt oder die Einwilligung des Erblassers nach § 78f Absatz 1 Satz 3 der Bundesnotarordnung vorlegt und</w:t>
      </w:r>
    </w:p>
    <w:p>
      <w:pPr>
        <w:ind w:left="420"/>
      </w:pPr>
      <w:r>
        <w:t xml:space="preserve">3. erklärt, dass die in § 78f Absatz 1a der Bundesnotarordnung genannten Voraussetzungen vorliegen.</w:t>
      </w:r>
    </w:p>
    <w:p>
      <w:r>
        <w:t xml:space="preserve">Absatz 1 Satz 2 gilt entsprechend.</w:t>
      </w:r>
    </w:p>
    <w:p>
      <w:r>
        <w:t xml:space="preserve">(2) Für die Kontrolle der Zulässigkeit der Ersuchen und für die Sicherstellung der ordnungsgemäßen Datenverarbeitung protokolliert die Registerbehörde bei allen nach Absatz 1 erteilten Auskünften elektronisch die ersuchende Stelle, deren Angaben nach Absatz 1 Satz 1, den Zeitpunkt des Ersuchens, die betroffenen Registereinträge sowie die übermittelten Daten. Die ein Auskunftsverfahren nach Absatz 1a betreffenden Dokumente hat die Registerbehörde in Papierform aufzubewahren oder elektronisch zu speichern.</w:t>
      </w:r>
    </w:p>
    <w:p>
      <w:r>
        <w:t xml:space="preserve">(3) Die Protokolldaten und die nach Absatz 2 Satz 2 aufbewahrten Dokumente dürfen nur für die Sicherstellung eines ordnungsgemäßen Registerbetriebs, einschließlich der Datenschutzkontrolle und der Datensicherheit, verwendet werden. Sie sind gegen zweckfremde Verwendung besonders zu schützen. Fünf Jahre nach Ablauf des Kalenderjahres der Auskunftserteilung oder der anderweitigen Erledigung der Angelegenheit sind die Protokolldaten und die nach Absatz 2 Satz 2 elektronisch gespeicherten Dokumente zu löschen sowie die nach Absatz 2 Satz 2 in Papierform aufbewahrten Dokumente zu vernichten.</w:t>
      </w:r>
    </w:p>
    <w:p>
      <w:r>
        <w:t xml:space="preserve">(4) Die Befugnis der Gerichte, Notare und Notarkammern zur Einsicht in Registrierungen, die von ihnen verwahrte erbfolgerelevante Urkunden betreffen (§ 78f Absatz 2 der Bundesnotarordnung), und das Recht des Erblassers auf Auskunft nach den datenschutzrechtlichen Vorschriften bleiben unberührt.</w:t>
      </w:r>
    </w:p>
    <w:p>
      <w:r>
        <w:rPr>
          <w:color w:val="555555"/>
          <w:sz w:val="17"/>
        </w:rPr>
        <w:t xml:space="preserve">Zitiervorschlag: § 8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