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ZTRV — Inhalt der Sterbefallmitteilungen</w:t>
      </w:r>
    </w:p>
    <w:p>
      <w:r>
        <w:rPr>
          <w:color w:val="555555"/>
          <w:sz w:val="18"/>
        </w:rPr>
        <w:t xml:space="preserve">Testamentsregister-Verordnung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Sterbefallmitteilung nach § 78e Satz 1 der Bundesnotarordnung enthält folgende Daten:</w:t>
      </w:r>
    </w:p>
    <w:p>
      <w:pPr>
        <w:ind w:left="420"/>
      </w:pPr>
      <w:r>
        <w:t xml:space="preserve">1. Registrierungsdaten des übermittelnden Standesamts,</w:t>
      </w:r>
    </w:p>
    <w:p>
      <w:pPr>
        <w:ind w:left="420"/>
      </w:pPr>
      <w:r>
        <w:t xml:space="preserve">2. Familienname, Geburtsname, Vornamen und Geschlecht des Verstorbenen,</w:t>
      </w:r>
    </w:p>
    <w:p>
      <w:pPr>
        <w:ind w:left="420"/>
      </w:pPr>
      <w:r>
        <w:t xml:space="preserve">3. Tag und Ort der Geburt des Verstorbenen,</w:t>
      </w:r>
    </w:p>
    <w:p>
      <w:pPr>
        <w:ind w:left="420"/>
      </w:pPr>
      <w:r>
        <w:t xml:space="preserve">4. Geburtsstandesamt und Geburtenregisternummer, wenn die Geburt im Inland beurkundet wurde,</w:t>
      </w:r>
    </w:p>
    <w:p>
      <w:pPr>
        <w:ind w:left="420"/>
      </w:pPr>
      <w:r>
        <w:t xml:space="preserve">5. Staat der Geburt, wenn der Verstorbene im Ausland geboren worden ist,</w:t>
      </w:r>
    </w:p>
    <w:p>
      <w:pPr>
        <w:ind w:left="420"/>
      </w:pPr>
      <w:r>
        <w:t xml:space="preserve">6. Todestag oder Todeszeitraum,</w:t>
      </w:r>
    </w:p>
    <w:p>
      <w:pPr>
        <w:ind w:left="420"/>
      </w:pPr>
      <w:r>
        <w:t xml:space="preserve">7. Sterbeort, bei Sterbefall im Ausland mit Angabe des Staates,</w:t>
      </w:r>
    </w:p>
    <w:p>
      <w:pPr>
        <w:ind w:left="420"/>
      </w:pPr>
      <w:r>
        <w:t xml:space="preserve">8. Staatsangehörigkeit des Verstorbenen,</w:t>
      </w:r>
    </w:p>
    <w:p>
      <w:pPr>
        <w:ind w:left="420"/>
      </w:pPr>
      <w:r>
        <w:t xml:space="preserve">9. Angaben darüber, dass der Verstorbene für tot erklärt worden ist oder seine Todeszeit gerichtlich festgestellt worden ist,</w:t>
      </w:r>
    </w:p>
    <w:p>
      <w:pPr>
        <w:ind w:left="420"/>
      </w:pPr>
      <w:r>
        <w:t xml:space="preserve">10. letzter Wohnsitz des Verstorbenen,</w:t>
      </w:r>
    </w:p>
    <w:p>
      <w:pPr>
        <w:ind w:left="420"/>
      </w:pPr>
      <w:r>
        <w:t xml:space="preserve">11. Beurkundungsdatum des Sterbefalls.</w:t>
      </w:r>
    </w:p>
    <w:p>
      <w:r>
        <w:t xml:space="preserve">(2) Die Sterbefallmitteilung nach § 78e Satz 1 der Bundesnotarordnung enthält außerdem sonstige Angaben, die zur Erfüllung gesetzlicher Aufgaben des Nachlassgerichts erforderlich sind. Sonstige Angaben können insbesondere sein:</w:t>
      </w:r>
    </w:p>
    <w:p>
      <w:pPr>
        <w:ind w:left="420"/>
      </w:pPr>
      <w:r>
        <w:t xml:space="preserve">1. Familienstand des Verstorbenen,</w:t>
      </w:r>
    </w:p>
    <w:p>
      <w:pPr>
        <w:ind w:left="420"/>
      </w:pPr>
      <w:r>
        <w:t xml:space="preserve">2. Familienname, Geburtsname und Vornamen des Ehegatten oder Lebenspartners des Verstorbenen,</w:t>
      </w:r>
    </w:p>
    <w:p>
      <w:pPr>
        <w:ind w:left="420"/>
      </w:pPr>
      <w:r>
        <w:t xml:space="preserve">3. Tag, Ort und Registrierungsdaten der Geburt des Ehegatten oder Lebenspartners des Verstorbenen und im Falle des Vorversterbens des Ehegatten oder Lebenspartners zusätzlich Tag, Ort und Registrierungsdaten von dessen Tod,</w:t>
      </w:r>
    </w:p>
    <w:p>
      <w:pPr>
        <w:ind w:left="420"/>
      </w:pPr>
      <w:r>
        <w:t xml:space="preserve">4. Familienname, Vornamen und Anschrift von Kindern des Erblassers,</w:t>
      </w:r>
    </w:p>
    <w:p>
      <w:pPr>
        <w:ind w:left="420"/>
      </w:pPr>
      <w:r>
        <w:t xml:space="preserve">5. Familienname, Vornamen und Anschrift von nahen Angehörigen und anderen möglichen Auskunftgebern,</w:t>
      </w:r>
    </w:p>
    <w:p>
      <w:pPr>
        <w:ind w:left="420"/>
      </w:pPr>
      <w:r>
        <w:t xml:space="preserve">6. Angaben über vorhandenes Nachlassvermögen,</w:t>
      </w:r>
    </w:p>
    <w:p>
      <w:pPr>
        <w:ind w:left="420"/>
      </w:pPr>
      <w:r>
        <w:t xml:space="preserve">7. etwaige Anhaltspunkte für die Erforderlichkeit von Maßnahmen zur Nachlasssicherung.</w:t>
      </w:r>
    </w:p>
    <w:p>
      <w:r>
        <w:t xml:space="preserve">Sonstige Angaben nach den Sätzen 1 und 2, die der Registerbehörde elektronisch übermittelt werden, löscht diese unverzüglich, nachdem das Verfahren nach § 7 abgeschlossen ist.</w:t>
      </w:r>
    </w:p>
    <w:p>
      <w:r>
        <w:t xml:space="preserve">(3) Die Daten nach den Absätzen 1 und 2 werden der Registerbehörde von dem zuständigen Standesamt nur mitgeteilt, soweit sie diesem bekannt sind.</w:t>
      </w:r>
    </w:p>
    <w:p>
      <w:r>
        <w:rPr>
          <w:color w:val="555555"/>
          <w:sz w:val="17"/>
        </w:rPr>
        <w:t xml:space="preserve">Zitiervorschlag: § 6 ZTRV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