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ZTRV — Registrierungsverfahren</w:t>
      </w:r>
    </w:p>
    <w:p>
      <w:r>
        <w:rPr>
          <w:color w:val="555555"/>
          <w:sz w:val="18"/>
        </w:rPr>
        <w:t xml:space="preserve">Testamentsregister-Verordnung</w:t>
      </w:r>
    </w:p>
    <w:p>
      <w:r>
        <w:rPr>
          <w:color w:val="555555"/>
          <w:sz w:val="18"/>
        </w:rPr>
        <w:t xml:space="preserve">Stand: 10.06.2019 (konsolidierte Textfassung, kein amtliches Inkrafttretensdatum)</w:t>
      </w:r>
    </w:p>
    <w:p>
      <w:r>
        <w:t xml:space="preserve">(1) Die Registerbehörde fasst die übermittelten Verwahrangaben für jeden Erblasser unter einer Registernummer zu einem Datensatz (Verwahrdatensatz) zusammen und ordnet jeder erbfolgerelevanten Urkunde, die in die besondere amtliche Verwahrung zu nehmen ist, eine Verwahrnummer zu. Die Verwahrnummern werden bezogen auf jedes Verwahrgericht vergeben. Die Registerbehörde speichert diesen Verwahrdatensatz in einem elektronischen System (Registrierung).</w:t>
      </w:r>
    </w:p>
    <w:p>
      <w:r>
        <w:t xml:space="preserve">(2) Die Registerbehörde bestätigt dem Melder jede erfolgreiche Registrierung und übermittelt diesem für den Erblasser die Angaben des Verwahrdatensatzes. Im Fall der besonderen amtlichen Verwahrung teilt die Registerbehörde zusätzlich die nach Absatz 1 Satz 1 vergebene Verwahrnummer mit. Konnte die Registrierung nicht durchgeführt werden, teilt die Registerbehörde dies dem Melder unter Angabe der Gründe mit.</w:t>
      </w:r>
    </w:p>
    <w:p>
      <w:r>
        <w:t xml:space="preserve">(3) Ist eine notarielle erbfolgerelevante Urkunde in besondere amtliche Verwahrung zu nehmen, teilt der Notar dem Verwahrgericht die Verwahrnummer mit, die ihm von der Registerbehörde mitgeteilt wurde. Das Verwahrgericht bestätigt der Registerbehörde die Inverwahrnahme der erbfolgerelevanten Urkunde und übermittelt ihr eine Verwahrbuchnummer, wenn die Urkunde unter der Verwahrnummer nach § 3 Absatz 1 Satz 1 bei dem Verwahrgericht nicht aufgefunden werden kann.</w:t>
      </w:r>
    </w:p>
    <w:p>
      <w:r>
        <w:rPr>
          <w:color w:val="555555"/>
          <w:sz w:val="17"/>
        </w:rPr>
        <w:t xml:space="preserve">Zitiervorschlag: § 3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