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ZTRV — Meldung zum Register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Notare und Gerichte (Melder) übermitteln nach § 34a Absatz 1 und 2 des Beurkundungsgesetzes, nach § 347 des Gesetzes über das Verfahren in Familiensachen und in den Angelegenheiten der freiwilligen Gerichtsbarkeit und nach § 78d Absatz 4 der Bundesnotarordnung die Verwahrangaben an die Registerbehörde. Betrifft eine erbfolgerelevante Urkunde mehrere Erblasser, sind die Verwahrangaben für jeden Erblasser zu übermitteln.</w:t>
      </w:r>
    </w:p>
    <w:p>
      <w:r>
        <w:t xml:space="preserve">(2) Jede Übermittlung muss alle Verwahrangaben nach § 1 Satz 1 enthalten, mit Ausnahme der Geburtenregisternummer, die nachträglich übermittelt werden kann. Im Fall der besonderen amtlichen Verwahrung der Urkunde übermittelt das Gericht eine Verwahrbuchnummer nur, wenn die Urkunde unter der Verwahrnummer nach § 3 Absatz 1 Satz 1 bei dem Verwahrgericht nicht aufgefunden werden kann.</w:t>
      </w:r>
    </w:p>
    <w:p>
      <w:r>
        <w:t xml:space="preserve">(3) Der Melder übermittelt die erforderlichen Daten, wie sie ihm vom Erblasser mitgeteilt wurden.</w:t>
      </w:r>
    </w:p>
    <w:p>
      <w:r>
        <w:rPr>
          <w:color w:val="555555"/>
          <w:sz w:val="17"/>
        </w:rPr>
        <w:t xml:space="preserve">Zitiervorschlag: § 2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