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ZTRV — Datenschutz und Datensicherheit</w:t>
      </w:r>
    </w:p>
    <w:p>
      <w:r>
        <w:rPr>
          <w:color w:val="555555"/>
          <w:sz w:val="18"/>
        </w:rPr>
        <w:t xml:space="preserve">Testamentsregister-Verordnung</w:t>
      </w:r>
    </w:p>
    <w:p>
      <w:r>
        <w:rPr>
          <w:color w:val="555555"/>
          <w:sz w:val="18"/>
        </w:rPr>
        <w:t xml:space="preserve">Stand: 02.12.2019 (konsolidierte Textfassung, kein amtliches Inkrafttretensdatum)</w:t>
      </w:r>
    </w:p>
    <w:p>
      <w:r>
        <w:t xml:space="preserve">(1) Das Register ist nur durch solche informationstechnische Netze zugänglich, die durch eine staatliche Stelle oder im Auftrag einer staatlichen Stelle oder einer juristischen Person des öffentlichen Rechts betrieben werden und mit dem Zentralen Testamentsregister gesichert verbunden sind. Die Registerbehörde soll durch Verfügung, die im Verkündungsblatt der Bundesnotarkammer bekannt zu machen ist, weitere Zugangswege nur zulassen, sofern diese den datenschutzrechtlichen Anforderungen entsprechen.</w:t>
      </w:r>
    </w:p>
    <w:p>
      <w:r>
        <w:t xml:space="preserve">(2) Die Registerbehörde erstellt ein Sicherheitskonzept, in welchem die einzelnen technischen und organisatorischen Maßnahmen festgelegt werden, die den Datenschutz und die Datensicherheit sowie die Umsetzung der Vorgaben dieser Verordnung gewährleisten.</w:t>
      </w:r>
    </w:p>
    <w:p>
      <w:r>
        <w:rPr>
          <w:color w:val="555555"/>
          <w:sz w:val="17"/>
        </w:rPr>
        <w:t xml:space="preserve">Zitiervorschlag: § 12 ZTRV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https://recht.nulegal.eu/gesetze/ZTRV/12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