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ZTRV — Nacherfassungen</w:t>
      </w:r>
    </w:p>
    <w:p>
      <w:r>
        <w:rPr>
          <w:color w:val="555555"/>
          <w:sz w:val="18"/>
        </w:rPr>
        <w:t xml:space="preserve">Testamentsregister-Verordnung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Wird festgestellt, dass eine verwahrte erbfolgerelevante Urkunde nicht im Zentralen Testamentsregister registriert ist, obwohl dies nach dem Testamentsverzeichnis-Überführungsgesetz vorgesehen war, ist die entsprechende Meldung von der Verwahrstelle nachzuholen.</w:t>
      </w:r>
    </w:p>
    <w:p>
      <w:r>
        <w:rPr>
          <w:color w:val="555555"/>
          <w:sz w:val="17"/>
        </w:rPr>
        <w:t xml:space="preserve">Zitiervorschlag: § 11 ZTRV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