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ZStVBetrV</w:t>
      </w:r>
    </w:p>
    <w:p>
      <w:r>
        <w:rPr>
          <w:color w:val="555555"/>
          <w:sz w:val="18"/>
        </w:rPr>
        <w:t xml:space="preserve">Verordnung über den Betrieb des Zentralen Staatsanwaltschaftlichen Verfahrensregisters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494 Abs. 4 der Strafprozessordnung in der Fassung der Bekanntmachung vom 7. April 1987 (BGBl. I S. 1074, 1319), der zuletzt durch Artikel 2 Nr. 6 des Gesetzes vom 10. September 2004 (BGBl. I S. 2318) geändert worden ist, verordnet das Bundesministerium der Justiz:</w:t>
      </w:r>
    </w:p>
    <w:p>
      <w:r>
        <w:rPr>
          <w:color w:val="555555"/>
          <w:sz w:val="17"/>
        </w:rPr>
        <w:t xml:space="preserve">Zitiervorschlag: Eingangsformel ZStVBetrV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https://recht.nulegal.eu/gesetze/ZStVBetrV/eingangsformel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