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ZStVBetrV — Auskunft an Behörden</w:t>
      </w:r>
    </w:p>
    <w:p>
      <w:r>
        <w:rPr>
          <w:color w:val="555555"/>
          <w:sz w:val="18"/>
        </w:rPr>
        <w:t xml:space="preserve">Verordnung über den Betrieb des Zentralen Staatsanwaltschaftlichen Verfahrensregisters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Auf Ersuchen erhalten Auskunft über die in § 4 genannten Daten</w:t>
      </w:r>
    </w:p>
    <w:p>
      <w:pPr>
        <w:ind w:left="420"/>
      </w:pPr>
      <w:r>
        <w:t xml:space="preserve">1. die mitteilenden Stellen im Sinne des § 3 Absatz 1 Satz 1; bei Mitteilung eines neuen Verfahrens erhalten sie auch ohne Ersuchen Auskunft über die zu der beschuldigten Person bereits gespeicherten Daten,</w:t>
      </w:r>
    </w:p>
    <w:p>
      <w:pPr>
        <w:ind w:left="420"/>
      </w:pPr>
      <w:r>
        <w:t xml:space="preserve">2. die Polizei- und Sonderpolizeibehörden, soweit sie im Einzelfall strafverfolgend tätig sind,</w:t>
      </w:r>
    </w:p>
    <w:p>
      <w:pPr>
        <w:ind w:left="420"/>
      </w:pPr>
      <w:r>
        <w:t xml:space="preserve">2a. das Bundeskriminalamt,</w:t>
      </w:r>
    </w:p>
    <w:p>
      <w:pPr>
        <w:ind w:left="780"/>
      </w:pPr>
      <w:r>
        <w:t xml:space="preserve">a) nach Maßgabe des § 492 Absatz 3 Satz 3 der Strafprozessordnung und des § 39 des Bundeskriminalamtgesetzes, soweit dies im Einzelfall zur Erfüllung seiner Aufgaben nach § 5 Absatz 1 des Bundeskriminalamtgesetzes erforderlich ist, oder</w:t>
      </w:r>
    </w:p>
    <w:p>
      <w:pPr>
        <w:ind w:left="780"/>
      </w:pPr>
      <w:r>
        <w:t xml:space="preserve">b) nach Maßgabe des § 492 Absatz 3 Satz 3 der Strafprozessordnung und des § 9 Absatz 2 und 5 des Bundeskriminalamtgesetzes, soweit dies im Einzelfall zur Erfüllung seiner Aufgaben nach § 6 Absatz 1 oder § 7 Absatz 1 oder Absatz 2 des Bundeskriminalamtgesetzes erforderlich ist,</w:t>
      </w:r>
    </w:p>
    <w:p>
      <w:pPr>
        <w:ind w:left="420"/>
      </w:pPr>
      <w:r>
        <w:t xml:space="preserve">3. die Finanzbehörden in steuerstrafrechtlichen Ermittlungsverfahren der Staatsanwaltschaft (§ 402 der Abgabenordnung),</w:t>
      </w:r>
    </w:p>
    <w:p>
      <w:pPr>
        <w:ind w:left="420"/>
      </w:pPr>
      <w:r>
        <w:t xml:space="preserve">4. die Steuer- und Zollfahndungsdienststellen, soweit sie im Einzelfall strafverfolgend tätig sind,</w:t>
      </w:r>
    </w:p>
    <w:p>
      <w:pPr>
        <w:ind w:left="420"/>
      </w:pPr>
      <w:r>
        <w:t xml:space="preserve">5. die Waffenbehörden nach Maßgabe des § 492 Absatz 3 Satz 4 der Strafprozessordnung und des § 5 Absatz 5 Satz 1 Nummer 2 und Satz 2 des Waffengesetzes,</w:t>
      </w:r>
    </w:p>
    <w:p>
      <w:pPr>
        <w:ind w:left="420"/>
      </w:pPr>
      <w:r>
        <w:t xml:space="preserve">5a. die Sprengstoffbehörden nach Maßgabe des § 492 Absatz 3 Satz 4 der Strafprozessordnung und des § 8a Absatz 5 Satz 1 Nummer 2 und Satz 3 des Sprengstoffgesetzes,</w:t>
      </w:r>
    </w:p>
    <w:p>
      <w:pPr>
        <w:ind w:left="420"/>
      </w:pPr>
      <w:r>
        <w:t xml:space="preserve">5b. die an Sicherheitsüberprüfungen mitwirkenden Behörden nach Maßgabe des § 492 Absatz 3 Satz 4 der Strafprozessordnung und des § 12 Absatz 1 Nummer 2 des Sicherheitsüberprüfungsgesetzes oder einer entsprechenden landesrechtlichen Vorschrift,</w:t>
      </w:r>
    </w:p>
    <w:p>
      <w:pPr>
        <w:ind w:left="420"/>
      </w:pPr>
      <w:r>
        <w:t xml:space="preserve">5c. die Zentralstelle für Finanztransaktionsuntersuchungen nach Maßgabe des § 492 Absatz 3 Satz 4 der Strafprozessordnung und des § 31 Absatz 4a des Geldwäschegesetzes,</w:t>
      </w:r>
    </w:p>
    <w:p>
      <w:pPr>
        <w:ind w:left="420"/>
      </w:pPr>
      <w:r>
        <w:t xml:space="preserve">5d. die Luftsicherheitsbehörden nach Maßgabe des § 492 Absatz 3 Satz 4 der Strafprozessordnung und des § 7 Absatz 3 Satz 1 Nummer 3 des Luftsicherheitsgesetzes,</w:t>
      </w:r>
    </w:p>
    <w:p>
      <w:pPr>
        <w:ind w:left="420"/>
      </w:pPr>
      <w:r>
        <w:t xml:space="preserve">6. das nationale Mitglied von Eurojust nach § 5 Absatz 1 Nummer 2 des Eurojust-Gesetzes.</w:t>
      </w:r>
    </w:p>
    <w:p>
      <w:r>
        <w:t xml:space="preserve">(2) Nach Maßgabe des § 492 Absatz 4 der Strafprozessordnung erhalten auf Ersuchen Auskunft über die in § 4 Absatz 1 bis 3 genannten Daten auch</w:t>
      </w:r>
    </w:p>
    <w:p>
      <w:pPr>
        <w:ind w:left="420"/>
      </w:pPr>
      <w:r>
        <w:t xml:space="preserve">1. die Verfassungsschutzbehörden des Bundes und der Länder,</w:t>
      </w:r>
    </w:p>
    <w:p>
      <w:pPr>
        <w:ind w:left="420"/>
      </w:pPr>
      <w:r>
        <w:t xml:space="preserve">2. der Militärische Abschirmdienst,</w:t>
      </w:r>
    </w:p>
    <w:p>
      <w:pPr>
        <w:ind w:left="420"/>
      </w:pPr>
      <w:r>
        <w:t xml:space="preserve">3. der Bundesnachrichtendienst.</w:t>
      </w:r>
    </w:p>
    <w:p>
      <w:r>
        <w:t xml:space="preserve">(3) Auskunft wird erteilt über Eintragungen zu Personen mit gleichen und zu Personen mit ähnlichen Identifizierungsdaten. Auf gesondertes Ersuchen wird Auskunft auch über Eintragungen zu Mitbeschuldigten erteilt.</w:t>
      </w:r>
    </w:p>
    <w:p>
      <w:r>
        <w:t xml:space="preserve">(4) Auskunft wird nicht erteilt, soweit eine Maßgabe nach § 3 Abs. 2 entgegensteht.</w:t>
      </w:r>
    </w:p>
    <w:p>
      <w:r>
        <w:rPr>
          <w:color w:val="555555"/>
          <w:sz w:val="17"/>
        </w:rPr>
        <w:t xml:space="preserve">Zitiervorschlag: § 6 ZStVBetrV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https://recht.nulegal.eu/gesetze/ZStVBetrV/6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