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ZStVBetrV — Inhalt und Zweck des Registers</w:t>
      </w:r>
    </w:p>
    <w:p>
      <w:r>
        <w:rPr>
          <w:color w:val="555555"/>
          <w:sz w:val="18"/>
        </w:rPr>
        <w:t xml:space="preserve">Verordnung über den Betrieb des Zentralen Staatsanwaltschaftlichen Verfahrensregisters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In dem Register werden die in § 4 bezeichneten Daten zu in der Bundesrepublik Deutschland geführten Strafverfahren einschließlich steuerstrafrechtlicher Verfahren sowie Verfahren der Behörden der Zollverwaltung nach § 14a Absatz 1 und § 14b Absatz 1 des Schwarzarbeitsbekämpfungsgesetzes zu dem Zweck gespeichert, die Durchführung von Strafverfahren effektiver zu gestalten, insbesondere die Ermittlung überörtlich handelnder Täter und Mehrfachtäter zu erleichtern, das frühzeitige Erkennen von Tat- und Täterverbindungen zu ermöglichen und gebotene Verfahrenskonzentrationen zu fördern.</w:t>
      </w:r>
    </w:p>
    <w:p>
      <w:r>
        <w:rPr>
          <w:color w:val="555555"/>
          <w:sz w:val="17"/>
        </w:rPr>
        <w:t xml:space="preserve">Zitiervorschlag: § 2 ZStVBetrV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https://recht.nulegal.eu/gesetze/ZStVBetrV/2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