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ZStVBetrV — Register</w:t>
      </w:r>
    </w:p>
    <w:p>
      <w:r>
        <w:rPr>
          <w:color w:val="555555"/>
          <w:sz w:val="18"/>
        </w:rPr>
        <w:t xml:space="preserve">Verordnung über den Betrieb des Zentralen Staatsanwaltschaftlichen Verfahrensregisters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Register nach den §§ 492 bis 495 der Strafprozessordnung wird bei dem Bundesamt für Justiz (Registerbehörde) unter der Bezeichnung "Zentrales Staatsanwaltschaftliches Verfahrensregister" geführt.</w:t>
      </w:r>
    </w:p>
    <w:p>
      <w:r>
        <w:t xml:space="preserve">(2) Eine Erhebung oder Verwendung personenbezogener Daten im Auftrag durch andere Stellen ist unzulässig.</w:t>
      </w:r>
    </w:p>
    <w:p>
      <w:r>
        <w:rPr>
          <w:color w:val="555555"/>
          <w:sz w:val="17"/>
        </w:rPr>
        <w:t xml:space="preserve">Zitiervorschlag: § 1 ZStVBetrV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https://recht.nulegal.eu/gesetze/ZStVBetrV/1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ZStVBetrV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