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ZStBFDV</w:t>
      </w:r>
    </w:p>
    <w:p>
      <w:r>
        <w:rPr>
          <w:color w:val="555555"/>
          <w:sz w:val="18"/>
        </w:rPr>
        <w:t xml:space="preserve">Zentralstellenverordnung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Absatz 1 Satz 3 des Bundesfreiwilligendienstgesetzes vom 28. April 2011 (BGBl. I S. 687) verordnet das Bundesministerium für Familie, Senioren, Frauen und Jugend:</w:t>
      </w:r>
    </w:p>
    <w:p>
      <w:r>
        <w:rPr>
          <w:color w:val="555555"/>
          <w:sz w:val="17"/>
        </w:rPr>
        <w:t xml:space="preserve">Zitiervorschlag: Eingangsformel ZStBFDV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https://recht.nulegal.eu/gesetze/ZStBFDV/eingangsformel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