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ZStBFDV — Inkrafttreten</w:t>
      </w:r>
    </w:p>
    <w:p>
      <w:r>
        <w:rPr>
          <w:color w:val="555555"/>
          <w:sz w:val="18"/>
        </w:rPr>
        <w:t xml:space="preserve">Zentralstellenverordnung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ZStBFDV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https://recht.nulegal.eu/gesetze/ZStBFDV/3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