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ZSV (Brandenburg) — Aufgaben und zuständige Stellen</w:t>
      </w:r>
    </w:p>
    <w:p>
      <w:r>
        <w:rPr>
          <w:color w:val="555555"/>
          <w:sz w:val="18"/>
        </w:rPr>
        <w:t xml:space="preserve">Zentrale Studienplatzvergabeverordnung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Stiftung für Hochschulzulassung vergibt die Studienplätze des ersten Fachsemesters der in das Zentrale Vergabeverfahren einbezogenen Studiengänge gemäß Artikel 5 Absatz 1 Nummer 1 des Staatsvertrages an Deutsche und Deutschen Gleichgestellte nach § 1 Absatz 2. Im Übrigen vergeben die Hochschulen die Studienplätze.</w:t>
      </w:r>
    </w:p>
    <w:p>
      <w:r>
        <w:t xml:space="preserve">(2) Die Stiftung betreibt das Dialogorientierte Serviceverfahren.</w:t>
      </w:r>
    </w:p>
    <w:p>
      <w:r>
        <w:rPr>
          <w:color w:val="555555"/>
          <w:sz w:val="17"/>
        </w:rPr>
        <w:t xml:space="preserve">Zitiervorschlag: § 3 ZSV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