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ZSV (Brandenburg) — Teilstudienplätze</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Studienplätze, bei denen die Zulassung auf den ersten Teil eines Studiengangs beschränkt ist, weil das Weiterstudium an einer deutschen Hochschule nicht gewährleistet ist (Teilstudienplätze), werden getrennt von den übrigen Studienplätzen von der Stiftung vergeben. Die festgesetzte Zahl an Teilstudienplätzen, vermindert um die Zahl der nach einem Dienst aufgrund früheren Zulassungsanspruchs Auszuwählenden, wird jeweils im Anschluss an das Koordinierungsverfahren nach § 5 durch das Los an Bewerberinnen und Bewerber vergeben, die eine Zulassung zu einem Teil-studienplatz zusätzlich gemäß § 6 Absatz 1 Satz 5 beantragt haben. Das Los bestimmt sich nach § 4 Absatz 2. Eine niedrigere Losnummer geht der höheren Losnummer vor.</w:t>
      </w:r>
    </w:p>
    <w:p>
      <w:r>
        <w:t xml:space="preserve">Titel 6</w:t>
      </w:r>
    </w:p>
    <w:p>
      <w:r>
        <w:t xml:space="preserve">Bescheide</w:t>
      </w:r>
    </w:p>
    <w:p>
      <w:r>
        <w:rPr>
          <w:color w:val="555555"/>
          <w:sz w:val="17"/>
        </w:rPr>
        <w:t xml:space="preserve">Zitiervorschlag: § 20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