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ZSV (Brandenburg) — Ergänzende Vorschriften zur Auswahl bei Ranggleichheit in den Hauptquoten</w:t>
      </w:r>
    </w:p>
    <w:p>
      <w:r>
        <w:rPr>
          <w:color w:val="555555"/>
          <w:sz w:val="18"/>
        </w:rPr>
        <w:t xml:space="preserve">Zentrale Studienplatzvergabeverordnung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Bei Ranggleichheit in den Auswahlverfahren nach Artikel 10 Absatz 1 Satz 1 Nummer 2 und 3 des Staatsvertrages oder bei Punktgleichheit nach Artikel 10 Absatz 1 Satz 1 Nummer 1 des Staatsvertrages in Verbindung mit § 15 Absatz 1 Satz 2 Nummer 1 gilt § 14 entsprechend.</w:t>
      </w:r>
    </w:p>
    <w:p>
      <w:r>
        <w:t xml:space="preserve">Titel 5</w:t>
      </w:r>
    </w:p>
    <w:p>
      <w:r>
        <w:t xml:space="preserve">Vorwegzulassung und Teilstudienplätze</w:t>
      </w:r>
    </w:p>
    <w:p>
      <w:r>
        <w:rPr>
          <w:color w:val="555555"/>
          <w:sz w:val="17"/>
        </w:rPr>
        <w:t xml:space="preserve">Zitiervorschlag: § 18 ZSV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https://recht.nulegal.eu/gesetze/ZSV/18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