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ZSV (Brandenburg) — Besonderer öffentlicher Bedarf</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für Verteidigung zuständige Bundesministerium teilt der Stiftung für das Sommersemester bis zum 15. Januar und für das Wintersemester bis zum 15. Juli mit, wen es für die Studienplätze je Studiengang und Hochschule benennt, die dem Sanitätsoffiziersdienst der Bundeswehr nach § 8 Absatz 1 Satz 1 Nummer 2 vorbehalten sind; es handelt sich um Ausschlussfristen.</w:t>
      </w:r>
    </w:p>
    <w:p>
      <w:r>
        <w:t xml:space="preserve">(2) Das Erfordernis der Registrierung nach § 4 bleibt bei der Bewerbung um einen Studienplatz in der Quote nach Absatz 1 unberührt; die Benennung nach Absatz 1 gilt als Zulassungsantrag nach § 6 Absatz 3. Mit der Erteilung eines Zulassungsangebots in der Quote für den öffentlichen Bedarf gelten die weiteren Bewerbungen nach § 6 Absatz 3 Satz 1 für diesen Studiengang als zurückgenommen. Abweichend von § 5 Absatz 2 Satz 1 und 2 erhält der Zulassungsantrag mit Erteilung des Zulassungsangebots die höchste Präferenz.</w:t>
      </w:r>
    </w:p>
    <w:p>
      <w:r>
        <w:rPr>
          <w:color w:val="555555"/>
          <w:sz w:val="17"/>
        </w:rPr>
        <w:t xml:space="preserve">Zitiervorschlag: § 11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