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ZSHG — Ansprüche Dritter</w:t>
      </w:r>
    </w:p>
    <w:p>
      <w:r>
        <w:rPr>
          <w:color w:val="555555"/>
          <w:sz w:val="18"/>
        </w:rPr>
        <w:t xml:space="preserve">Zeugenschutz-Harmonisierungsgesetz</w:t>
      </w:r>
    </w:p>
    <w:p>
      <w:r>
        <w:rPr>
          <w:color w:val="555555"/>
          <w:sz w:val="18"/>
        </w:rPr>
        <w:t xml:space="preserve">Stand: 10.06.2019 (konsolidierte Textfassung, kein amtliches Inkrafttretensdatum)</w:t>
      </w:r>
    </w:p>
    <w:p>
      <w:r>
        <w:t xml:space="preserve">(1) Ansprüche Dritter gegen die zu schützende Person werden durch Maßnahmen nach diesem Gesetz nicht berührt. Mit Aufnahme in den Zeugenschutz hat die zu schützende Person sie der Zeugenschutzdienststelle offen zu legen.</w:t>
      </w:r>
    </w:p>
    <w:p>
      <w:r>
        <w:t xml:space="preserve">(2) Die Zeugenschutzdienststelle trägt dafür Sorge, dass die Erreichbarkeit der zu schützenden Person im Rechtsverkehr nicht durch Maßnahmen des Zeugenschutzes vereitelt wird.</w:t>
      </w:r>
    </w:p>
    <w:p>
      <w:r>
        <w:rPr>
          <w:color w:val="555555"/>
          <w:sz w:val="17"/>
        </w:rPr>
        <w:t xml:space="preserve">Zitiervorschlag: § 9 ZSHG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