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ZSHG — Aufhebung von Maßnahmen des Zeugenschutzes</w:t>
      </w:r>
    </w:p>
    <w:p>
      <w:r>
        <w:rPr>
          <w:color w:val="555555"/>
          <w:sz w:val="18"/>
        </w:rPr>
        <w:t xml:space="preserve">Zeugenschutz-Harmonisierungsgesetz</w:t>
      </w:r>
    </w:p>
    <w:p>
      <w:r>
        <w:rPr>
          <w:color w:val="555555"/>
          <w:sz w:val="18"/>
        </w:rPr>
        <w:t xml:space="preserve">Stand: 10.06.2019 (konsolidierte Textfassung, kein amtliches Inkrafttretensdatum)</w:t>
      </w:r>
    </w:p>
    <w:p>
      <w:r>
        <w:t xml:space="preserve">Wird der Zeugenschutz insgesamt beendet oder sind einzelne Maßnahmen nicht mehr erforderlich, unterrichtet die Zeugenschutzdienststelle unter Berücksichtigung der Belange des Zeugenschutzes die beteiligten öffentlichen und nicht öffentlichen Stellen. Öffentliche Stellen heben die nach den §§ 4 und 5 getroffenen Maßnahmen auf. Die Zeugenschutzdienststelle zieht Tarndokumente ein, deren Verwendung nicht mehr erforderlich ist.</w:t>
      </w:r>
    </w:p>
    <w:p>
      <w:r>
        <w:rPr>
          <w:color w:val="555555"/>
          <w:sz w:val="17"/>
        </w:rPr>
        <w:t xml:space="preserve">Zitiervorschlag: § 6 ZSHG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