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ZSHG — Zeugenschutzdienststellen</w:t>
      </w:r>
    </w:p>
    <w:p>
      <w:r>
        <w:rPr>
          <w:color w:val="555555"/>
          <w:sz w:val="18"/>
        </w:rPr>
        <w:t xml:space="preserve">Zeugenschutz-Harmonisierungsgesetz</w:t>
      </w:r>
    </w:p>
    <w:p>
      <w:r>
        <w:rPr>
          <w:color w:val="555555"/>
          <w:sz w:val="18"/>
        </w:rPr>
        <w:t xml:space="preserve">Stand: 10.06.2019 (konsolidierte Textfassung, kein amtliches Inkrafttretensdatum)</w:t>
      </w:r>
    </w:p>
    <w:p>
      <w:r>
        <w:t xml:space="preserve">(1) Der Schutz einer Person nach Maßgabe dieses Gesetzes obliegt der Polizei oder den sonst nach Bundes- oder Landesrecht zuständigen Behörden (Zeugenschutzdienststellen). Bundes- und landesrechtliche Regelungen zur Abwehr einer für die zu schützende Person bestehenden Gefahr bleiben unberührt.</w:t>
      </w:r>
    </w:p>
    <w:p>
      <w:r>
        <w:t xml:space="preserve">(2) Die Zeugenschutzdienststelle trifft ihre Entscheidungen nach pflichtgemäßem Ermessen. Bei der Abwägung sind insbesondere die Schwere der Tat sowie der Grad der Gefährdung, die Rechte des Beschuldigten und die Auswirkungen der Maßnahmen zu berücksichtigen.</w:t>
      </w:r>
    </w:p>
    <w:p>
      <w:r>
        <w:t xml:space="preserve">(3) Die im Zusammenhang mit dem Zeugenschutz getroffenen Entscheidungen und Maßnahmen sind aktenkundig zu machen. Die Akten werden von der Zeugenschutzdienststelle geführt, unterliegen der Geheimhaltung und sind nicht Bestandteil der Ermittlungsakte. Sie sind der Staatsanwaltschaft auf Anforderung zugänglich zu machen. Die Mitarbeiter der Staatsanwaltschaft und der Zeugenschutzdienststelle sind in Strafverfahren nach den allgemeinen Grundsätzen unter Berücksichtigung des § 54 der Strafprozessordnung zur Auskunft auch über den Zeugenschutz verpflichtet.</w:t>
      </w:r>
    </w:p>
    <w:p>
      <w:r>
        <w:t xml:space="preserve">(4) Bis zum rechtskräftigen Abschluss eines Strafverfahrens ist über Beginn und Beendigung des Zeugenschutzes das Einvernehmen mit der Staatsanwaltschaft herzustellen. Nach diesem Zeitpunkt ist die Staatsanwaltschaft von der beabsichtigten Beendigung des Zeugenschutzes in Kenntnis zu setzen.</w:t>
      </w:r>
    </w:p>
    <w:p>
      <w:r>
        <w:rPr>
          <w:color w:val="555555"/>
          <w:sz w:val="17"/>
        </w:rPr>
        <w:t xml:space="preserve">Zitiervorschlag: § 2 ZSHG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