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ZSHG — Zeugenschutz bei freiheitsentziehenden Maßnahmen</w:t>
      </w:r>
    </w:p>
    <w:p>
      <w:r>
        <w:rPr>
          <w:color w:val="555555"/>
          <w:sz w:val="18"/>
        </w:rPr>
        <w:t xml:space="preserve">Zeugenschutz-Harmonisierungsgesetz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Entscheidungen der Zeugenschutzdienststelle, die Auswirkungen auf den Vollzug von Untersuchungshaft, Freiheitsstrafe oder einer sonstigen freiheitsentziehenden Maßnahme haben können, dürfen nur im Einvernehmen mit dem Leiter der jeweiligen Vollzugseinrichtung getroffen werden.</w:t>
      </w:r>
    </w:p>
    <w:p>
      <w:r>
        <w:rPr>
          <w:color w:val="555555"/>
          <w:sz w:val="17"/>
        </w:rPr>
        <w:t xml:space="preserve">Zitiervorschlag: § 11 ZSHG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