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ZSG — Öffentliche Schutzräume</w:t>
      </w:r>
    </w:p>
    <w:p>
      <w:r>
        <w:rPr>
          <w:color w:val="555555"/>
          <w:sz w:val="18"/>
        </w:rPr>
        <w:t xml:space="preserve">Zivilschutz- und Katastrophenhilfegesetz</w:t>
      </w:r>
    </w:p>
    <w:p>
      <w:r>
        <w:rPr>
          <w:color w:val="555555"/>
          <w:sz w:val="18"/>
        </w:rPr>
        <w:t xml:space="preserve">Stand: 05.07.2020 (konsolidierte Textfassung, kein amtliches Inkrafttretensdatum)</w:t>
      </w:r>
    </w:p>
    <w:p>
      <w:r>
        <w:t xml:space="preserve">(1) Öffentliche Schutzräume sind die mit Mitteln des Bundes wiederhergestellten Bunker und Stollen sowie die als Mehrzweckbauten in unterirdischen baulichen Anlagen errichteten Schutzräume zum Schutz der Bevölkerung. Sie werden von den Gemeinden verwaltet und unterhalten. Einnahmen aus einer friedensmäßigen Nutzung der Schutzräume stehen den Gemeinden zu. Bildet der öffentliche Schutzraum mit anderen Anlagen eine betriebliche Einheit, so kann dem Grundstückseigentümer die Verwaltung und Unterhaltung des Schutzraumes und seiner Ausstattung übertragen werden. Die Kosten sind ihm von der Gemeinde zu erstatten.</w:t>
      </w:r>
    </w:p>
    <w:p>
      <w:r>
        <w:t xml:space="preserve">(2) An dem Grundstück und den Baulichkeiten dürfen ohne Zustimmung der nach Landesrecht zuständigen Behörde keine Veränderungen vorgenommen werden, die die Benutzung des öffentlichen Schutzraums beeinträchtigen könnten. Bei Bauten im Eigentum des Bundes erteilt die Zustimmung das Bundesministerium des Innern, für Bau und Heimat.</w:t>
      </w:r>
    </w:p>
    <w:p>
      <w:r>
        <w:t xml:space="preserve">(3) Die Absätze 1 und 2 gelten auch für Schutzräume in dem in Artikel 3 des Einigungsvertrages genannten Gebiet, die vom Bundesministerium des Innern, für Bau und Heimat als öffentliche Schutzräume anerkannt worden sind, sowie für die Bestandserhaltung der bisher zum Zwecke der gesundheitlichen Versorgung der Bevölkerung im Verteidigungsfall errichteten Schutzbauwerke.</w:t>
      </w:r>
    </w:p>
    <w:p>
      <w:r>
        <w:rPr>
          <w:color w:val="555555"/>
          <w:sz w:val="17"/>
        </w:rPr>
        <w:t xml:space="preserve">Zitiervorschlag: § 7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