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ZSG — Bußgeldvorschriften</w:t>
      </w:r>
    </w:p>
    <w:p>
      <w:r>
        <w:rPr>
          <w:color w:val="555555"/>
          <w:sz w:val="18"/>
        </w:rPr>
        <w:t xml:space="preserve">Zivilschutz- und Katastrophenhilfegesetz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 einer vollziehbaren Anordnung nach § 5 Abs. 4 Satz 1, § 10 Abs. 1, § 21 Abs. 4 oder § 22 Abs. 1 zuwiderhandelt.</w:t>
      </w:r>
    </w:p>
    <w:p>
      <w:r>
        <w:t xml:space="preserve">(2) Ordnungswidrig handelt, wer vorsätzlich oder fahrlässig</w:t>
      </w:r>
    </w:p>
    <w:p>
      <w:pPr>
        <w:ind w:left="420"/>
      </w:pPr>
      <w:r>
        <w:t xml:space="preserve">1. einer Rechtsverordnung nach § 22 Abs. 2 Satz 1, soweit sie für einen bestimmten Tatbestand auf diese Bußgeldvorschrift verweist,</w:t>
      </w:r>
    </w:p>
    <w:p>
      <w:pPr>
        <w:ind w:left="420"/>
      </w:pPr>
      <w:r>
        <w:t xml:space="preserve">2. einer Vorschrift des § 27 Abs. 2 über die Mitwirkung oder</w:t>
      </w:r>
    </w:p>
    <w:p>
      <w:pPr>
        <w:ind w:left="420"/>
      </w:pPr>
      <w:r>
        <w:t xml:space="preserve">3. einer vollziehbaren Anordnung nach § 28 Abs. 1 Satz 1</w:t>
      </w:r>
    </w:p>
    <w:p>
      <w:r>
        <w:t xml:space="preserve">zuwiderhandelt.</w:t>
      </w:r>
    </w:p>
    <w:p>
      <w:r>
        <w:t xml:space="preserve">(3) Die Ordnungswidrigkeit kann in den Fällen des Absatzes 1 mit einer Geldbuße bis zu zehntausend Euro, in den Fällen des Absatzes 2 mit einer Geldbuße bis zu tausend Euro geahndet werden.</w:t>
      </w:r>
    </w:p>
    <w:p>
      <w:r>
        <w:t xml:space="preserve">(4) Verwaltungsbehörde im Sinne des § 36 Abs. 1 Nr. 1 des Gesetzes über Ordnungswidrigkeiten ist</w:t>
      </w:r>
    </w:p>
    <w:p>
      <w:pPr>
        <w:ind w:left="420"/>
      </w:pPr>
      <w:r>
        <w:t xml:space="preserve">1. in den Fällen des Absatzes 1 die Behörde, welche die Anordnung erlassen hat,</w:t>
      </w:r>
    </w:p>
    <w:p>
      <w:pPr>
        <w:ind w:left="420"/>
      </w:pPr>
      <w:r>
        <w:t xml:space="preserve">2. in den Fällen des Absatzes 2 Nr. 1 die Agentur für Arbeit,</w:t>
      </w:r>
    </w:p>
    <w:p>
      <w:pPr>
        <w:ind w:left="420"/>
      </w:pPr>
      <w:r>
        <w:t xml:space="preserve">3. in den Fällen des Absatzes 2 Nr. 2 die Bundesanstalt Technisches Hilfswerk für ihre Helfer, im übrigen und in den Fällen des Absatzes 2 Nr. 3 die für den Katastrophenschutz zuständige Behörde.</w:t>
      </w:r>
    </w:p>
    <w:p>
      <w:r>
        <w:rPr>
          <w:color w:val="555555"/>
          <w:sz w:val="17"/>
        </w:rPr>
        <w:t xml:space="preserve">Zitiervorschlag: § 30 ZSG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