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ZSG — Sanitätsmaterialbevorratung</w:t>
      </w:r>
    </w:p>
    <w:p>
      <w:r>
        <w:rPr>
          <w:color w:val="555555"/>
          <w:sz w:val="18"/>
        </w:rPr>
        <w:t xml:space="preserve">Zivilschutz- und Katastrophenhilfegesetz</w:t>
      </w:r>
    </w:p>
    <w:p>
      <w:r>
        <w:rPr>
          <w:color w:val="555555"/>
          <w:sz w:val="18"/>
        </w:rPr>
        <w:t xml:space="preserve">Stand: 05.07.2020 (konsolidierte Textfassung, kein amtliches Inkrafttretensdatum)</w:t>
      </w:r>
    </w:p>
    <w:p>
      <w:r>
        <w:t xml:space="preserve">(1) Der Bund stellt den Ländern für die gesundheitliche Versorgung der Bevölkerung im Verteidigungsfall ergänzend Sanitätsmaterial zur Verfügung. Dieses steht den Ländern für ihre Aufgaben im Bereich des Katastrophenschutzes zusätzlich zur Verfügung. Die Länder können das Sanitätsmaterial in ihre Katastrophenschutzvorsorge einplanen.</w:t>
      </w:r>
    </w:p>
    <w:p>
      <w:r>
        <w:t xml:space="preserve">(2) Das Bundesministerium des Innern, für Bau und Heimat kann im Einvernehmen mit dem Bundesministerium für Gesundheit durch Rechtsverordnung mit Zustimmung des Bundesrates anordnen, dass nach Maßgabe des Artikels 80a des Grundgesetzes ausreichend Sanitätsmaterial von Herstellungsbetrieben, Großhandlungen sowie öffentlichen und Krankenhausapotheken vorgehalten wird, um die Deckung von zusätzlichem Bedarf im Verteidigungsfall sicherzustellen. Die §§ 4, 8 und 13 bis 16 des Wirtschaftssicherstellungsgesetzes in der Fassung vom 31. Oktober 2006 sind entsprechend anzuwenden.</w:t>
      </w:r>
    </w:p>
    <w:p>
      <w:r>
        <w:rPr>
          <w:color w:val="555555"/>
          <w:sz w:val="17"/>
        </w:rPr>
        <w:t xml:space="preserve">Zitiervorschlag: § 23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