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ZSG — Datenerhebung und -verwendung</w:t>
      </w:r>
    </w:p>
    <w:p>
      <w:r>
        <w:rPr>
          <w:color w:val="555555"/>
          <w:sz w:val="18"/>
        </w:rPr>
        <w:t xml:space="preserve">Zivilschutz- und Katastrophenhilfegesetz</w:t>
      </w:r>
    </w:p>
    <w:p>
      <w:r>
        <w:rPr>
          <w:color w:val="555555"/>
          <w:sz w:val="18"/>
        </w:rPr>
        <w:t xml:space="preserve">Stand: 05.07.2020 (konsolidierte Textfassung, kein amtliches Inkrafttretensdatum)</w:t>
      </w:r>
    </w:p>
    <w:p>
      <w:r>
        <w:t xml:space="preserve">(1) Soweit es zur Erfüllung seiner Aufgaben nach § 16 erforderlich ist, darf das Bundesamt für Bevölkerungsschutz und Katastrophenhilfe Angaben, einschließlich personenbezogener Daten, über Hilfeleistungspotenziale und über Objekte und infrastrukturelle Einrichtungen, die für den Zivil- und Katastrophenschutz relevant sind, erheben und verwenden. Hierzu zählen insbesondere Angaben über</w:t>
      </w:r>
    </w:p>
    <w:p>
      <w:pPr>
        <w:ind w:left="420"/>
      </w:pPr>
      <w:r>
        <w:t xml:space="preserve">1. personelle, materielle und infrastrukturelle Potenziale der allgemeinen Gefahrenabwehr,</w:t>
      </w:r>
    </w:p>
    <w:p>
      <w:pPr>
        <w:ind w:left="420"/>
      </w:pPr>
      <w:r>
        <w:t xml:space="preserve">2. Betriebe, Einrichtungen und Anlagen, von denen bei einer Schadenslage zusätzliche Gefahren ausgehen können (Risikopotenziale),</w:t>
      </w:r>
    </w:p>
    <w:p>
      <w:pPr>
        <w:ind w:left="420"/>
      </w:pPr>
      <w:r>
        <w:t xml:space="preserve">3. Infrastrukturen, bei deren Ausfall die Versorgung der Bevölkerung erheblich beeinträchtigt wird (kritische Infrastrukturen), und</w:t>
      </w:r>
    </w:p>
    <w:p>
      <w:pPr>
        <w:ind w:left="420"/>
      </w:pPr>
      <w:r>
        <w:t xml:space="preserve">4. Objekte, die aufgrund ihrer Symbolkraft oder Dimension als mögliche Ziele von Angriffen in Betracht kommen (gefährdete Objekte).</w:t>
      </w:r>
    </w:p>
    <w:p>
      <w:r>
        <w:t xml:space="preserve">(2) Die nach Absatz 1 erhobenen personenbezogenen Daten dürfen nur an die im Zivil- und Katastrophenschutz mitwirkenden öffentlichen und nichtöffentlichen Stellen übermittelt werden und nur, soweit die Kenntnis der Daten aus Sicht des Bundesamtes für Bevölkerungsschutz und Katastrophenhilfe für Zwecke der Lageerfassung oder -bewertung oder zum Nachweis oder zur Vermittlung von Engpassressourcen erforderlich ist. Eines Ersuchens dieser Stellen um Übermittlung bedarf es nicht.</w:t>
      </w:r>
    </w:p>
    <w:p>
      <w:r>
        <w:t xml:space="preserve">(3) Das Nähere regelt das Bundesministerium des Innern, für Bau und Heimat durch Rechtsverordnung mit Zustimmung des Bundesrates. Dabei sind insbesondere die Datenarten, die erhoben und verwendet werden dürfen, sowie Fristen für die Löschung der Daten zu bestimmen.</w:t>
      </w:r>
    </w:p>
    <w:p>
      <w:r>
        <w:rPr>
          <w:color w:val="555555"/>
          <w:sz w:val="17"/>
        </w:rPr>
        <w:t xml:space="preserve">Zitiervorschlag: § 17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