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ZRBG — Verzinsung</w:t>
      </w:r>
    </w:p>
    <w:p>
      <w:r>
        <w:rPr>
          <w:color w:val="555555"/>
          <w:sz w:val="18"/>
        </w:rPr>
        <w:t xml:space="preserve">Gesetz zur Zahlbarmachung von Renten aus Beschäftigungen in einem Ghetto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Fälligkeitszeitpunkt im Sinne von § 44 Absatz 1 des Ersten Buches Sozialgesetzbuch ist bei Renten mit Zeiten nach diesem Gesetz frühestens der 27. Juni 2002.</w:t>
      </w:r>
    </w:p>
    <w:p>
      <w:r>
        <w:t xml:space="preserve">(2) In den Fällen des § 3 Absatz 4 und 5 beginnt die Verzinsung frühestens nach Ablauf von sechs Kalendermonaten nach Eingang des ersten vollständigen Leistungsantrags beim zuständigen Leistungsträger; § 44 Absatz 2 des Ersten Buches Sozialgesetzbuch gilt nicht.</w:t>
      </w:r>
    </w:p>
    <w:p>
      <w:r>
        <w:rPr>
          <w:color w:val="555555"/>
          <w:sz w:val="17"/>
        </w:rPr>
        <w:t xml:space="preserve">Zitiervorschlag: § 5 ZRBG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https://recht.nulegal.eu/gesetze/ZRBG/5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