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ZRBG — Fiktion der Beitragszahlung</w:t>
      </w:r>
    </w:p>
    <w:p>
      <w:r>
        <w:rPr>
          <w:color w:val="555555"/>
          <w:sz w:val="18"/>
        </w:rPr>
        <w:t xml:space="preserve">Gesetz zur Zahlbarmachung von Renten aus Beschäftigungen in einem Ghetto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Zeiten der Beschäftigung von Verfolgten in einem Ghetto gelten Beiträge als gezahlt, und zwar</w:t>
      </w:r>
    </w:p>
    <w:p>
      <w:pPr>
        <w:ind w:left="420"/>
      </w:pPr>
      <w:r>
        <w:t xml:space="preserve">1. für die Berechnung der Rente als Beiträge nach den Reichsversicherungsgesetzen für eine Beschäftigung außerhalb des Bundesgebiets sowie</w:t>
      </w:r>
    </w:p>
    <w:p>
      <w:pPr>
        <w:ind w:left="420"/>
      </w:pPr>
      <w:r>
        <w:t xml:space="preserve">2. für die Erbringung von Leistungen ins Ausland als Beiträge für eine Beschäftigung im Bundesgebiet</w:t>
      </w:r>
    </w:p>
    <w:p>
      <w:r>
        <w:t xml:space="preserve">(Ghetto-Beitragszeiten).</w:t>
      </w:r>
    </w:p>
    <w:p>
      <w:r>
        <w:t xml:space="preserve">(2) Zusätzliche Entgeltpunkte für Beitragszeiten außerhalb des Bundesgebiets sind auf Grund von Ghetto-Beitragszeiten nicht zu ermitteln.</w:t>
      </w:r>
    </w:p>
    <w:p>
      <w:r>
        <w:rPr>
          <w:color w:val="555555"/>
          <w:sz w:val="17"/>
        </w:rPr>
        <w:t xml:space="preserve">Zitiervorschlag: § 2 ZRBG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https://recht.nulegal.eu/gesetze/ZRBG/2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