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ZQualVBau (Bayern) — Schallschutz</w:t>
      </w:r>
    </w:p>
    <w:p>
      <w:r>
        <w:rPr>
          <w:color w:val="555555"/>
          <w:sz w:val="18"/>
        </w:rPr>
        <w:t xml:space="preserve">ZusatzqualifikationsverordnungBau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Fach Schallschutz sollen die an der Prüfung Teilnehmenden nachweisen, daß sie über ausreichende Kenntnisse der fachlichen Grundlagen des Schallschutzes verfügen. In diesem Rahmen können insbesondere geprüft werden:</w:t>
      </w:r>
    </w:p>
    <w:p>
      <w:r>
        <w:t xml:space="preserve">1. DIN 4109 – Schallschutz im Hochbau,</w:t>
      </w:r>
    </w:p>
    <w:p>
      <w:r>
        <w:t xml:space="preserve">2. Anforderungen an Luft- und Trittschalldämmung,</w:t>
      </w:r>
    </w:p>
    <w:p>
      <w:r>
        <w:t xml:space="preserve">3. Anforderungen an Planung und Ausführung.</w:t>
      </w:r>
    </w:p>
    <w:p>
      <w:r>
        <w:rPr>
          <w:color w:val="555555"/>
          <w:sz w:val="17"/>
        </w:rPr>
        <w:t xml:space="preserve">Zitiervorschlag: § 7 ZQualVBau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https://recht.nulegal.eu/gesetze/ZQualVBau/7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